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ECB" w:rsidRDefault="00245ECB" w:rsidP="00D31414">
      <w:pPr>
        <w:jc w:val="center"/>
        <w:rPr>
          <w:b/>
        </w:rPr>
      </w:pPr>
      <w:bookmarkStart w:id="0" w:name="_GoBack"/>
      <w:bookmarkEnd w:id="0"/>
      <w:r>
        <w:rPr>
          <w:b/>
          <w:noProof/>
          <w:lang w:eastAsia="es-MX"/>
        </w:rPr>
        <w:drawing>
          <wp:inline distT="0" distB="0" distL="0" distR="0">
            <wp:extent cx="2094865" cy="438049"/>
            <wp:effectExtent l="0" t="0" r="635" b="63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nuevo.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40466" cy="468495"/>
                    </a:xfrm>
                    <a:prstGeom prst="rect">
                      <a:avLst/>
                    </a:prstGeom>
                  </pic:spPr>
                </pic:pic>
              </a:graphicData>
            </a:graphic>
          </wp:inline>
        </w:drawing>
      </w:r>
    </w:p>
    <w:p w:rsidR="00D31414" w:rsidRPr="00D31414" w:rsidRDefault="00D31414" w:rsidP="00D31414">
      <w:pPr>
        <w:jc w:val="center"/>
        <w:rPr>
          <w:b/>
        </w:rPr>
      </w:pPr>
      <w:r w:rsidRPr="00D31414">
        <w:rPr>
          <w:b/>
        </w:rPr>
        <w:t>HOGAR CABAÑAS.</w:t>
      </w:r>
    </w:p>
    <w:p w:rsidR="0034681B" w:rsidRDefault="00D31414" w:rsidP="00D31414">
      <w:pPr>
        <w:jc w:val="center"/>
        <w:rPr>
          <w:b/>
        </w:rPr>
      </w:pPr>
      <w:r>
        <w:rPr>
          <w:b/>
        </w:rPr>
        <w:t xml:space="preserve">NOTAS A LOS ESTADOS FINANCIEROS AL 31 DE </w:t>
      </w:r>
      <w:r w:rsidR="00283B5E">
        <w:rPr>
          <w:b/>
        </w:rPr>
        <w:t>MARZO DE 2019.</w:t>
      </w:r>
    </w:p>
    <w:p w:rsidR="00D31414" w:rsidRPr="00723C89" w:rsidRDefault="00D31414" w:rsidP="00D31414">
      <w:pPr>
        <w:jc w:val="center"/>
        <w:rPr>
          <w:b/>
          <w:sz w:val="24"/>
          <w:szCs w:val="24"/>
        </w:rPr>
      </w:pPr>
      <w:r w:rsidRPr="00723C89">
        <w:rPr>
          <w:b/>
          <w:sz w:val="24"/>
          <w:szCs w:val="24"/>
        </w:rPr>
        <w:t>NOTAS DE DESGLOCE</w:t>
      </w:r>
    </w:p>
    <w:p w:rsidR="00D31414" w:rsidRDefault="00D31414" w:rsidP="00D31414">
      <w:pPr>
        <w:pStyle w:val="Prrafodelista"/>
        <w:numPr>
          <w:ilvl w:val="0"/>
          <w:numId w:val="1"/>
        </w:numPr>
        <w:rPr>
          <w:b/>
        </w:rPr>
      </w:pPr>
      <w:r>
        <w:rPr>
          <w:b/>
        </w:rPr>
        <w:t>NOTAS AL ESTADO DE SITUACION FINANCIERA.</w:t>
      </w:r>
    </w:p>
    <w:p w:rsidR="00D31414" w:rsidRPr="00AB4DD6" w:rsidRDefault="00D31414" w:rsidP="00AB4DD6">
      <w:pPr>
        <w:pStyle w:val="Sinespaciado"/>
        <w:rPr>
          <w:b/>
        </w:rPr>
      </w:pPr>
      <w:r w:rsidRPr="00AB4DD6">
        <w:rPr>
          <w:b/>
        </w:rPr>
        <w:t>ACTIVO</w:t>
      </w:r>
    </w:p>
    <w:p w:rsidR="00AB4DD6" w:rsidRPr="00AB4DD6" w:rsidRDefault="00AB4DD6" w:rsidP="00AB4DD6">
      <w:pPr>
        <w:pStyle w:val="Sinespaciado"/>
        <w:rPr>
          <w:b/>
        </w:rPr>
      </w:pPr>
      <w:r w:rsidRPr="00AB4DD6">
        <w:rPr>
          <w:b/>
        </w:rPr>
        <w:t>ACTIVO CIRCULANTE</w:t>
      </w:r>
    </w:p>
    <w:p w:rsidR="00D31414" w:rsidRDefault="00BC1972" w:rsidP="00D31414">
      <w:pPr>
        <w:rPr>
          <w:b/>
        </w:rPr>
      </w:pPr>
      <w:r>
        <w:rPr>
          <w:b/>
        </w:rPr>
        <w:t>-</w:t>
      </w:r>
      <w:r w:rsidR="00D31414">
        <w:rPr>
          <w:b/>
        </w:rPr>
        <w:t>EFECTIVO Y EQUIVALENTES:</w:t>
      </w:r>
    </w:p>
    <w:p w:rsidR="004E2CD3" w:rsidRDefault="00BC1972" w:rsidP="00D31414">
      <w:pPr>
        <w:rPr>
          <w:noProof/>
          <w:lang w:eastAsia="es-MX"/>
        </w:rPr>
      </w:pPr>
      <w:r>
        <w:t>Este rubro se integra como sigue:</w:t>
      </w:r>
    </w:p>
    <w:p w:rsidR="00F41E08" w:rsidRDefault="007171B9" w:rsidP="00D31414">
      <w:r w:rsidRPr="007171B9">
        <w:rPr>
          <w:noProof/>
          <w:lang w:eastAsia="es-MX"/>
        </w:rPr>
        <w:drawing>
          <wp:inline distT="0" distB="0" distL="0" distR="0">
            <wp:extent cx="5612130" cy="4457195"/>
            <wp:effectExtent l="0" t="0" r="7620" b="63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2130" cy="4457195"/>
                    </a:xfrm>
                    <a:prstGeom prst="rect">
                      <a:avLst/>
                    </a:prstGeom>
                    <a:noFill/>
                    <a:ln>
                      <a:noFill/>
                    </a:ln>
                  </pic:spPr>
                </pic:pic>
              </a:graphicData>
            </a:graphic>
          </wp:inline>
        </w:drawing>
      </w:r>
    </w:p>
    <w:p w:rsidR="007171B9" w:rsidRDefault="001F59BB" w:rsidP="00C944BD">
      <w:pPr>
        <w:jc w:val="both"/>
      </w:pPr>
      <w:r>
        <w:t>L</w:t>
      </w:r>
      <w:r w:rsidR="007171B9">
        <w:t>os fondos fijos de caja en 2019 fueron asignados a los servidores públicos mencionados</w:t>
      </w:r>
      <w:r>
        <w:t>.</w:t>
      </w:r>
    </w:p>
    <w:p w:rsidR="007171B9" w:rsidRDefault="001F59BB" w:rsidP="00C944BD">
      <w:pPr>
        <w:jc w:val="both"/>
      </w:pPr>
      <w:r>
        <w:t>La cuenta Bancaria de Banco Banorte S. A., cta.</w:t>
      </w:r>
      <w:r w:rsidR="00FB1EF6">
        <w:t xml:space="preserve"> no.</w:t>
      </w:r>
      <w:r>
        <w:t xml:space="preserve"> 577817151 es la cuenta usada para pago de gastos en general.</w:t>
      </w:r>
    </w:p>
    <w:p w:rsidR="007171B9" w:rsidRDefault="001F59BB" w:rsidP="00C944BD">
      <w:pPr>
        <w:jc w:val="both"/>
      </w:pPr>
      <w:r>
        <w:lastRenderedPageBreak/>
        <w:t>La cuenta Bancaria de Banco Banorte, S.A., cta.</w:t>
      </w:r>
      <w:r w:rsidR="00FB1EF6">
        <w:t xml:space="preserve"> no.</w:t>
      </w:r>
      <w:r>
        <w:t xml:space="preserve"> 0448920245 es la cuenta usada para el pago de nómina y gastos inherentes.</w:t>
      </w:r>
      <w:r w:rsidR="00FB1EF6">
        <w:t xml:space="preserve"> </w:t>
      </w:r>
    </w:p>
    <w:p w:rsidR="001F59BB" w:rsidRDefault="00FB1EF6" w:rsidP="00C944BD">
      <w:pPr>
        <w:jc w:val="both"/>
      </w:pPr>
      <w:r>
        <w:t xml:space="preserve">La cuenta Bancaria de Banco </w:t>
      </w:r>
      <w:proofErr w:type="spellStart"/>
      <w:r>
        <w:t>Bansi</w:t>
      </w:r>
      <w:proofErr w:type="spellEnd"/>
      <w:r>
        <w:t>, S.A.  no. cta. 097195633 esta cuenta fue usada para el pago de retenciones y aportaciones de la Dirección de Pensiones del Estado de Jalisco.</w:t>
      </w:r>
    </w:p>
    <w:p w:rsidR="00B5283C" w:rsidRDefault="00B5283C" w:rsidP="00C944BD">
      <w:pPr>
        <w:jc w:val="both"/>
      </w:pPr>
      <w:r>
        <w:t>La cuenta de inversión de Banco Banorte, S.A. no. 0501325828 (portafolio de inversiones a la vis</w:t>
      </w:r>
      <w:r w:rsidR="008613B1">
        <w:t xml:space="preserve">ta con vencimiento diario) tiene </w:t>
      </w:r>
      <w:r>
        <w:t>como finalidad recibir los recursos excedentes de la cuenta de Subsidio estatal a fin de optimizar su uso y manejo.</w:t>
      </w:r>
    </w:p>
    <w:p w:rsidR="001F59BB" w:rsidRPr="00A74473" w:rsidRDefault="00A74473" w:rsidP="00C944BD">
      <w:pPr>
        <w:jc w:val="both"/>
      </w:pPr>
      <w:r>
        <w:t xml:space="preserve">La cuenta de inversión de Banco Banorte, S.A. no. </w:t>
      </w:r>
      <w:r w:rsidR="00B5283C">
        <w:t>0501325792 (portafolio de inversiones a la vis</w:t>
      </w:r>
      <w:r w:rsidR="008613B1">
        <w:t>ta con vencimiento diario), tiene</w:t>
      </w:r>
      <w:r w:rsidR="00B5283C">
        <w:t xml:space="preserve"> como finalidad recibir los recursos excedentes de la cuenta de gastos en general, a fin de obtener productos financieros de dichos excedentes.</w:t>
      </w:r>
    </w:p>
    <w:p w:rsidR="00A74473" w:rsidRPr="00D31414" w:rsidRDefault="00A74473" w:rsidP="00D31414">
      <w:pPr>
        <w:rPr>
          <w:b/>
        </w:rPr>
      </w:pPr>
    </w:p>
    <w:p w:rsidR="00AE1B05" w:rsidRDefault="00AE1B05" w:rsidP="00D31414">
      <w:pPr>
        <w:rPr>
          <w:b/>
        </w:rPr>
      </w:pPr>
    </w:p>
    <w:p w:rsidR="00AE1B05" w:rsidRDefault="00AE1B05" w:rsidP="00D31414">
      <w:pPr>
        <w:rPr>
          <w:b/>
        </w:rPr>
      </w:pPr>
    </w:p>
    <w:p w:rsidR="00AE1B05" w:rsidRDefault="00AE1B05" w:rsidP="00D31414">
      <w:pPr>
        <w:rPr>
          <w:b/>
        </w:rPr>
      </w:pPr>
    </w:p>
    <w:p w:rsidR="00AE1B05" w:rsidRDefault="00AE1B05" w:rsidP="00D31414">
      <w:pPr>
        <w:rPr>
          <w:b/>
        </w:rPr>
      </w:pPr>
    </w:p>
    <w:p w:rsidR="00AE1B05" w:rsidRDefault="00AE1B05" w:rsidP="00D31414">
      <w:pPr>
        <w:rPr>
          <w:b/>
        </w:rPr>
      </w:pPr>
    </w:p>
    <w:p w:rsidR="00AE1B05" w:rsidRDefault="00AE1B05" w:rsidP="00D31414">
      <w:pPr>
        <w:rPr>
          <w:b/>
        </w:rPr>
      </w:pPr>
    </w:p>
    <w:p w:rsidR="00AE1B05" w:rsidRDefault="00AE1B05" w:rsidP="00D31414">
      <w:pPr>
        <w:rPr>
          <w:b/>
        </w:rPr>
      </w:pPr>
    </w:p>
    <w:p w:rsidR="00AE1B05" w:rsidRDefault="00AE1B05" w:rsidP="00D31414">
      <w:pPr>
        <w:rPr>
          <w:b/>
        </w:rPr>
      </w:pPr>
    </w:p>
    <w:p w:rsidR="00AE1B05" w:rsidRDefault="00AE1B05" w:rsidP="00D31414">
      <w:pPr>
        <w:rPr>
          <w:b/>
        </w:rPr>
      </w:pPr>
    </w:p>
    <w:p w:rsidR="00AE1B05" w:rsidRDefault="00AE1B05" w:rsidP="00D31414">
      <w:pPr>
        <w:rPr>
          <w:b/>
        </w:rPr>
      </w:pPr>
    </w:p>
    <w:p w:rsidR="00AE1B05" w:rsidRDefault="00AE1B05" w:rsidP="00D31414">
      <w:pPr>
        <w:rPr>
          <w:b/>
        </w:rPr>
      </w:pPr>
    </w:p>
    <w:p w:rsidR="00AE1B05" w:rsidRDefault="00AE1B05" w:rsidP="00D31414">
      <w:pPr>
        <w:rPr>
          <w:b/>
        </w:rPr>
      </w:pPr>
    </w:p>
    <w:p w:rsidR="00AE1B05" w:rsidRDefault="00AE1B05" w:rsidP="00D31414">
      <w:pPr>
        <w:rPr>
          <w:b/>
        </w:rPr>
      </w:pPr>
    </w:p>
    <w:p w:rsidR="00AE1B05" w:rsidRDefault="00AE1B05" w:rsidP="00D31414">
      <w:pPr>
        <w:rPr>
          <w:b/>
        </w:rPr>
      </w:pPr>
    </w:p>
    <w:p w:rsidR="00AE1B05" w:rsidRDefault="00AE1B05" w:rsidP="00D31414">
      <w:pPr>
        <w:rPr>
          <w:b/>
        </w:rPr>
      </w:pPr>
    </w:p>
    <w:p w:rsidR="00AE1B05" w:rsidRDefault="00AE1B05" w:rsidP="00D31414">
      <w:pPr>
        <w:rPr>
          <w:b/>
        </w:rPr>
      </w:pPr>
    </w:p>
    <w:p w:rsidR="00AE1B05" w:rsidRDefault="00AE1B05" w:rsidP="00D31414">
      <w:pPr>
        <w:rPr>
          <w:b/>
        </w:rPr>
      </w:pPr>
    </w:p>
    <w:p w:rsidR="00AE1B05" w:rsidRDefault="00AE1B05" w:rsidP="00D31414">
      <w:pPr>
        <w:rPr>
          <w:b/>
        </w:rPr>
      </w:pPr>
    </w:p>
    <w:p w:rsidR="00AE1B05" w:rsidRDefault="00AE1B05" w:rsidP="00D31414">
      <w:pPr>
        <w:rPr>
          <w:b/>
        </w:rPr>
      </w:pPr>
    </w:p>
    <w:p w:rsidR="00AE1B05" w:rsidRDefault="00AE1B05" w:rsidP="00D31414">
      <w:pPr>
        <w:rPr>
          <w:b/>
        </w:rPr>
      </w:pPr>
    </w:p>
    <w:p w:rsidR="00D31414" w:rsidRDefault="00BC1972" w:rsidP="00D31414">
      <w:pPr>
        <w:rPr>
          <w:b/>
        </w:rPr>
      </w:pPr>
      <w:r>
        <w:rPr>
          <w:b/>
        </w:rPr>
        <w:lastRenderedPageBreak/>
        <w:t>-DERECHOS A RECIBIR EFECTIVO Y EQUIVAL</w:t>
      </w:r>
      <w:r w:rsidR="00AB4DD6">
        <w:rPr>
          <w:b/>
        </w:rPr>
        <w:t>ENT</w:t>
      </w:r>
      <w:r>
        <w:rPr>
          <w:b/>
        </w:rPr>
        <w:t>ES.</w:t>
      </w:r>
    </w:p>
    <w:p w:rsidR="00723C89" w:rsidRDefault="00BC1972" w:rsidP="00D31414">
      <w:pPr>
        <w:rPr>
          <w:b/>
        </w:rPr>
      </w:pPr>
      <w:r w:rsidRPr="00BC1972">
        <w:t>Este rubro se compone de lo siguiente:</w:t>
      </w:r>
      <w:r w:rsidR="00AE1B05" w:rsidRPr="00AE1B05">
        <w:rPr>
          <w:noProof/>
          <w:lang w:eastAsia="es-MX"/>
        </w:rPr>
        <w:drawing>
          <wp:inline distT="0" distB="0" distL="0" distR="0">
            <wp:extent cx="5612130" cy="5654905"/>
            <wp:effectExtent l="0" t="0" r="7620" b="317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2130" cy="5654905"/>
                    </a:xfrm>
                    <a:prstGeom prst="rect">
                      <a:avLst/>
                    </a:prstGeom>
                    <a:noFill/>
                    <a:ln>
                      <a:noFill/>
                    </a:ln>
                  </pic:spPr>
                </pic:pic>
              </a:graphicData>
            </a:graphic>
          </wp:inline>
        </w:drawing>
      </w:r>
    </w:p>
    <w:p w:rsidR="00C944BD" w:rsidRDefault="00C944BD" w:rsidP="005C24D2">
      <w:pPr>
        <w:jc w:val="both"/>
      </w:pPr>
      <w:r>
        <w:t>Los Deudores diversos Luis Enrique Salazar Gutiérrez, Javier González Martínez, Freddy Martínez, Mario Cuesta, Santiago Paredes Castillo y Marco Antonio Pedroza corresponden a multas e infracciones realizadas que aún no han sido liquidadas.</w:t>
      </w:r>
    </w:p>
    <w:p w:rsidR="00CE7B43" w:rsidRDefault="00C944BD" w:rsidP="005C24D2">
      <w:pPr>
        <w:jc w:val="both"/>
      </w:pPr>
      <w:r>
        <w:t>Los Deudores Diversos “Personal del Hogar Cabañas” corresponden a adeudos de empleados por el pago pro</w:t>
      </w:r>
      <w:r w:rsidR="005C24D2">
        <w:t xml:space="preserve">porcional del Seguro de vida </w:t>
      </w:r>
      <w:r>
        <w:t>contratado</w:t>
      </w:r>
      <w:r w:rsidR="00D10E83">
        <w:t xml:space="preserve"> y </w:t>
      </w:r>
      <w:r w:rsidR="005C24D2">
        <w:t>aún no</w:t>
      </w:r>
      <w:r w:rsidR="00D10E83">
        <w:t xml:space="preserve"> descontado.</w:t>
      </w:r>
    </w:p>
    <w:p w:rsidR="003B6B0E" w:rsidRDefault="00AD6538" w:rsidP="005C24D2">
      <w:pPr>
        <w:jc w:val="both"/>
      </w:pPr>
      <w:r>
        <w:t xml:space="preserve">El deudor diverso “Varios” corresponde al adeudo por duplicidad en pago a Bimbo, S.A. y Distribuidora </w:t>
      </w:r>
      <w:proofErr w:type="spellStart"/>
      <w:r>
        <w:t>Calzaman</w:t>
      </w:r>
      <w:proofErr w:type="spellEnd"/>
      <w:r>
        <w:t xml:space="preserve">, S.A. </w:t>
      </w:r>
    </w:p>
    <w:p w:rsidR="00CE7B43" w:rsidRDefault="00CE7B43" w:rsidP="005F5835">
      <w:pPr>
        <w:jc w:val="both"/>
      </w:pPr>
      <w:r>
        <w:lastRenderedPageBreak/>
        <w:t>El deudor Mayra Algarín su adeudo se refiere al cobro bancario de devolución de 2 cheques imputables a su encargo. El área Jurídica se encarga de llevarle a cabo un procedimiento administrativo para la recuperación de dicho pago.</w:t>
      </w:r>
    </w:p>
    <w:p w:rsidR="00AB4DD6" w:rsidRPr="00CE7B43" w:rsidRDefault="00CE7B43" w:rsidP="005F5835">
      <w:pPr>
        <w:jc w:val="both"/>
      </w:pPr>
      <w:r>
        <w:t>El deudor S</w:t>
      </w:r>
      <w:r w:rsidR="008613B1">
        <w:t>ecretaría de la Hacienda Pública m</w:t>
      </w:r>
      <w:r>
        <w:t>anifestado, corresponde al adeudo de dicha Secretaría con el Hogar Cabañas</w:t>
      </w:r>
      <w:r w:rsidR="002D24B3">
        <w:t>,</w:t>
      </w:r>
      <w:r>
        <w:t xml:space="preserve"> en lo que respecta </w:t>
      </w:r>
      <w:r w:rsidRPr="00CE7B43">
        <w:t>a la radicaci</w:t>
      </w:r>
      <w:r>
        <w:t xml:space="preserve">ón del recurso recaudado </w:t>
      </w:r>
      <w:r w:rsidR="008613B1">
        <w:t>por Aportaciones Adicionales al pago de refrendos vehiculares de los meses de enero, febrero y marzo de 2019.</w:t>
      </w:r>
    </w:p>
    <w:p w:rsidR="00AB4DD6" w:rsidRDefault="00AB4DD6" w:rsidP="00D31414">
      <w:pPr>
        <w:rPr>
          <w:b/>
        </w:rPr>
      </w:pPr>
    </w:p>
    <w:p w:rsidR="00AB4DD6" w:rsidRDefault="00AB4DD6" w:rsidP="00AB4DD6">
      <w:pPr>
        <w:rPr>
          <w:b/>
        </w:rPr>
      </w:pPr>
      <w:r>
        <w:rPr>
          <w:b/>
        </w:rPr>
        <w:t>-ALMACENES.</w:t>
      </w:r>
    </w:p>
    <w:p w:rsidR="00AB4DD6" w:rsidRDefault="00AB4DD6" w:rsidP="00D31414">
      <w:pPr>
        <w:rPr>
          <w:b/>
        </w:rPr>
      </w:pPr>
      <w:r w:rsidRPr="00BC1972">
        <w:t>Este rubro se compone de lo siguiente:</w:t>
      </w:r>
    </w:p>
    <w:p w:rsidR="00AB4DD6" w:rsidRDefault="008613B1" w:rsidP="00D31414">
      <w:pPr>
        <w:rPr>
          <w:b/>
        </w:rPr>
      </w:pPr>
      <w:r w:rsidRPr="008613B1">
        <w:rPr>
          <w:noProof/>
          <w:lang w:eastAsia="es-MX"/>
        </w:rPr>
        <w:drawing>
          <wp:inline distT="0" distB="0" distL="0" distR="0">
            <wp:extent cx="5612130" cy="1206266"/>
            <wp:effectExtent l="0" t="0" r="762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130" cy="1206266"/>
                    </a:xfrm>
                    <a:prstGeom prst="rect">
                      <a:avLst/>
                    </a:prstGeom>
                    <a:noFill/>
                    <a:ln>
                      <a:noFill/>
                    </a:ln>
                  </pic:spPr>
                </pic:pic>
              </a:graphicData>
            </a:graphic>
          </wp:inline>
        </w:drawing>
      </w:r>
    </w:p>
    <w:p w:rsidR="00AB4DD6" w:rsidRPr="00150043" w:rsidRDefault="00C85CAF" w:rsidP="002D24B3">
      <w:pPr>
        <w:jc w:val="both"/>
      </w:pPr>
      <w:r w:rsidRPr="00150043">
        <w:t>El Almacén general resguarda los artículos de</w:t>
      </w:r>
      <w:r w:rsidR="002D24B3">
        <w:t xml:space="preserve"> consumo </w:t>
      </w:r>
      <w:r w:rsidR="008510B5">
        <w:t>y de uso. El método de costos</w:t>
      </w:r>
      <w:r w:rsidR="002D24B3">
        <w:t xml:space="preserve"> de inventarios es el costo promedio. El sistema</w:t>
      </w:r>
      <w:r w:rsidR="00966402">
        <w:t xml:space="preserve"> de valuación es inventarios perpetuos. El sistema</w:t>
      </w:r>
      <w:r w:rsidR="002D24B3">
        <w:t xml:space="preserve"> informático usado para el control del almacén general es el sistema </w:t>
      </w:r>
      <w:proofErr w:type="spellStart"/>
      <w:r w:rsidR="002D24B3">
        <w:t>Adminpaq</w:t>
      </w:r>
      <w:proofErr w:type="spellEnd"/>
      <w:r w:rsidR="002D24B3">
        <w:t xml:space="preserve"> Comercial </w:t>
      </w:r>
      <w:proofErr w:type="spellStart"/>
      <w:r w:rsidR="002D24B3">
        <w:t>Start</w:t>
      </w:r>
      <w:proofErr w:type="spellEnd"/>
      <w:r w:rsidR="002D24B3">
        <w:t>.</w:t>
      </w:r>
    </w:p>
    <w:p w:rsidR="00AB4DD6" w:rsidRDefault="00AB4DD6" w:rsidP="00D31414">
      <w:pPr>
        <w:rPr>
          <w:b/>
        </w:rPr>
      </w:pPr>
      <w:r>
        <w:rPr>
          <w:b/>
        </w:rPr>
        <w:t>ACTIVO NO CIRCULANTE</w:t>
      </w:r>
    </w:p>
    <w:p w:rsidR="00AB4DD6" w:rsidRDefault="00AB4DD6" w:rsidP="00D31414">
      <w:pPr>
        <w:rPr>
          <w:b/>
        </w:rPr>
      </w:pPr>
      <w:r>
        <w:rPr>
          <w:b/>
        </w:rPr>
        <w:t>-BIENES INMUEBLES, INFRAESTRUCTURA Y CONSTRUCCIONES EN PROCESO.</w:t>
      </w:r>
    </w:p>
    <w:p w:rsidR="00AB4DD6" w:rsidRDefault="00AB4DD6" w:rsidP="00D31414">
      <w:pPr>
        <w:rPr>
          <w:b/>
        </w:rPr>
      </w:pPr>
      <w:r>
        <w:rPr>
          <w:b/>
        </w:rPr>
        <w:t>Este rubro se integra como sigue:</w:t>
      </w:r>
    </w:p>
    <w:p w:rsidR="00AB4DD6" w:rsidRDefault="0053534F" w:rsidP="00D31414">
      <w:pPr>
        <w:rPr>
          <w:b/>
        </w:rPr>
      </w:pPr>
      <w:r w:rsidRPr="0053534F">
        <w:rPr>
          <w:noProof/>
          <w:lang w:eastAsia="es-MX"/>
        </w:rPr>
        <w:drawing>
          <wp:inline distT="0" distB="0" distL="0" distR="0">
            <wp:extent cx="5612130" cy="1623601"/>
            <wp:effectExtent l="0" t="0" r="762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2130" cy="1623601"/>
                    </a:xfrm>
                    <a:prstGeom prst="rect">
                      <a:avLst/>
                    </a:prstGeom>
                    <a:noFill/>
                    <a:ln>
                      <a:noFill/>
                    </a:ln>
                  </pic:spPr>
                </pic:pic>
              </a:graphicData>
            </a:graphic>
          </wp:inline>
        </w:drawing>
      </w:r>
    </w:p>
    <w:p w:rsidR="00AB4DD6" w:rsidRPr="00AB4DD6" w:rsidRDefault="0053534F" w:rsidP="0053534F">
      <w:pPr>
        <w:jc w:val="both"/>
      </w:pPr>
      <w:r>
        <w:t>Tumbas adquirida</w:t>
      </w:r>
      <w:r w:rsidR="00AB4DD6" w:rsidRPr="00AB4DD6">
        <w:t xml:space="preserve">s en 1974 y 1978 </w:t>
      </w:r>
      <w:r>
        <w:t>bajo los títulos de propiedad</w:t>
      </w:r>
      <w:r w:rsidR="00C15881">
        <w:t xml:space="preserve"> nos. 47 y 189 de fecha 2 de febrero de 1978 y 24 de agosto de 1974, </w:t>
      </w:r>
      <w:r w:rsidR="00AB4DD6">
        <w:t>con el fin de contar con espacios destinados a la inhumación de albergados fallecidos o familiares directos</w:t>
      </w:r>
      <w:r w:rsidR="00C15881">
        <w:t>.</w:t>
      </w:r>
      <w:r w:rsidR="00067A3D">
        <w:t xml:space="preserve"> </w:t>
      </w:r>
      <w:r w:rsidR="00987B66">
        <w:t xml:space="preserve">En virtud de la actualización </w:t>
      </w:r>
      <w:r w:rsidR="002D24B3">
        <w:t xml:space="preserve">de los registros </w:t>
      </w:r>
      <w:r w:rsidR="00987B66">
        <w:t>de los bienes inmuebles, se llevará a cabo una revaluación, que quedará integrada a fin de actualizar los valores re</w:t>
      </w:r>
      <w:r w:rsidR="0032365A">
        <w:t>feridos de estas construcc</w:t>
      </w:r>
      <w:r w:rsidR="00686737">
        <w:t xml:space="preserve">iones. En </w:t>
      </w:r>
      <w:r w:rsidR="00984E83">
        <w:t xml:space="preserve">este </w:t>
      </w:r>
      <w:r w:rsidR="00686737">
        <w:t xml:space="preserve"> ejercicio de 2019</w:t>
      </w:r>
      <w:r w:rsidR="002D24B3">
        <w:t>,</w:t>
      </w:r>
      <w:r w:rsidR="00686737">
        <w:t xml:space="preserve"> se buscará de acuerdo a las normas de la CONAC llevar a cabo la revaluación de dichos bienes inmuebles.</w:t>
      </w:r>
    </w:p>
    <w:p w:rsidR="00C15881" w:rsidRDefault="00C15881" w:rsidP="00D31414">
      <w:pPr>
        <w:rPr>
          <w:b/>
        </w:rPr>
      </w:pPr>
    </w:p>
    <w:p w:rsidR="00AB4DD6" w:rsidRDefault="00AB4DD6" w:rsidP="00D31414">
      <w:pPr>
        <w:rPr>
          <w:b/>
        </w:rPr>
      </w:pPr>
      <w:r>
        <w:rPr>
          <w:b/>
        </w:rPr>
        <w:lastRenderedPageBreak/>
        <w:t>-BIENES MUEBLES.</w:t>
      </w:r>
    </w:p>
    <w:p w:rsidR="00AB4DD6" w:rsidRDefault="00AB4DD6" w:rsidP="00D31414">
      <w:pPr>
        <w:rPr>
          <w:b/>
        </w:rPr>
      </w:pPr>
      <w:r>
        <w:rPr>
          <w:b/>
        </w:rPr>
        <w:t>Este rubro se integra como sigue:</w:t>
      </w:r>
    </w:p>
    <w:p w:rsidR="00AB4DD6" w:rsidRDefault="00C86D29" w:rsidP="00D31414">
      <w:pPr>
        <w:rPr>
          <w:b/>
        </w:rPr>
      </w:pPr>
      <w:r w:rsidRPr="00C86D29">
        <w:rPr>
          <w:noProof/>
          <w:lang w:eastAsia="es-MX"/>
        </w:rPr>
        <w:drawing>
          <wp:inline distT="0" distB="0" distL="0" distR="0">
            <wp:extent cx="5612130" cy="2061773"/>
            <wp:effectExtent l="0" t="0" r="762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2130" cy="2061773"/>
                    </a:xfrm>
                    <a:prstGeom prst="rect">
                      <a:avLst/>
                    </a:prstGeom>
                    <a:noFill/>
                    <a:ln>
                      <a:noFill/>
                    </a:ln>
                  </pic:spPr>
                </pic:pic>
              </a:graphicData>
            </a:graphic>
          </wp:inline>
        </w:drawing>
      </w:r>
    </w:p>
    <w:p w:rsidR="00067A3D" w:rsidRDefault="001A3A6D" w:rsidP="001A3A6D">
      <w:pPr>
        <w:pStyle w:val="Sinespaciado"/>
        <w:jc w:val="both"/>
      </w:pPr>
      <w:r>
        <w:t xml:space="preserve">Las adquisiciones de maquinaria otros equipos y herramienta fueron por la cantidad de </w:t>
      </w:r>
    </w:p>
    <w:p w:rsidR="00A26B2D" w:rsidRDefault="001A3A6D" w:rsidP="00415285">
      <w:pPr>
        <w:pStyle w:val="Sinespaciado"/>
        <w:jc w:val="both"/>
      </w:pPr>
      <w:r>
        <w:t xml:space="preserve">$ </w:t>
      </w:r>
      <w:r w:rsidR="00415285">
        <w:t>1</w:t>
      </w:r>
      <w:r w:rsidR="00173259">
        <w:t>’</w:t>
      </w:r>
      <w:r w:rsidR="00415285">
        <w:t>6</w:t>
      </w:r>
      <w:r w:rsidR="002A68F8">
        <w:t>3</w:t>
      </w:r>
      <w:r w:rsidR="00415285">
        <w:t>7</w:t>
      </w:r>
      <w:r w:rsidR="002A68F8">
        <w:t>,920.0</w:t>
      </w:r>
      <w:r w:rsidR="00415285">
        <w:t xml:space="preserve">0 </w:t>
      </w:r>
      <w:r w:rsidR="002A68F8">
        <w:t>correspondiente a 2 lavadoras y 4 secadoras industriales.</w:t>
      </w:r>
    </w:p>
    <w:p w:rsidR="00415285" w:rsidRDefault="00415285" w:rsidP="00415285">
      <w:pPr>
        <w:pStyle w:val="Sinespaciado"/>
        <w:jc w:val="both"/>
        <w:rPr>
          <w:b/>
        </w:rPr>
      </w:pPr>
    </w:p>
    <w:p w:rsidR="00C15881" w:rsidRDefault="005A633C" w:rsidP="00D31414">
      <w:pPr>
        <w:rPr>
          <w:b/>
        </w:rPr>
      </w:pPr>
      <w:r>
        <w:rPr>
          <w:b/>
        </w:rPr>
        <w:t>DEPRECIACION, DETERIORO Y AMORTIZACION ACUMULADA DE BIENES</w:t>
      </w:r>
    </w:p>
    <w:p w:rsidR="002A68F8" w:rsidRDefault="002A68F8" w:rsidP="00D31414">
      <w:pPr>
        <w:rPr>
          <w:b/>
        </w:rPr>
      </w:pPr>
      <w:r w:rsidRPr="002A68F8">
        <w:rPr>
          <w:noProof/>
          <w:lang w:eastAsia="es-MX"/>
        </w:rPr>
        <w:drawing>
          <wp:inline distT="0" distB="0" distL="0" distR="0">
            <wp:extent cx="5612130" cy="1873301"/>
            <wp:effectExtent l="0" t="0" r="762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2130" cy="1873301"/>
                    </a:xfrm>
                    <a:prstGeom prst="rect">
                      <a:avLst/>
                    </a:prstGeom>
                    <a:noFill/>
                    <a:ln>
                      <a:noFill/>
                    </a:ln>
                  </pic:spPr>
                </pic:pic>
              </a:graphicData>
            </a:graphic>
          </wp:inline>
        </w:drawing>
      </w:r>
    </w:p>
    <w:p w:rsidR="001A3A6D" w:rsidRDefault="003F455F" w:rsidP="00D31414">
      <w:r>
        <w:t xml:space="preserve">Durante el ejercicio </w:t>
      </w:r>
      <w:r w:rsidR="002A68F8">
        <w:t xml:space="preserve">de 2018 </w:t>
      </w:r>
      <w:r>
        <w:t>se llevó a cabo un inventario físico de bienes muebles, el cual no se concilió contra los registros contables, por lo que en el ejercicio 2019 se llevará a cabo dicho proceso, y por ende el ajuste de las depreciaciones de acuerdo al resultado.</w:t>
      </w:r>
    </w:p>
    <w:p w:rsidR="005A633C" w:rsidRDefault="00A26B2D" w:rsidP="00D31414">
      <w:pPr>
        <w:rPr>
          <w:b/>
        </w:rPr>
      </w:pPr>
      <w:r w:rsidRPr="00A26B2D">
        <w:rPr>
          <w:b/>
        </w:rPr>
        <w:t>-OTROS ACTIVOS NO CIRCULANTES.</w:t>
      </w:r>
    </w:p>
    <w:p w:rsidR="00505995" w:rsidRDefault="00505995" w:rsidP="00D31414">
      <w:pPr>
        <w:rPr>
          <w:b/>
        </w:rPr>
      </w:pPr>
      <w:r w:rsidRPr="00505995">
        <w:rPr>
          <w:noProof/>
          <w:lang w:eastAsia="es-MX"/>
        </w:rPr>
        <w:drawing>
          <wp:inline distT="0" distB="0" distL="0" distR="0">
            <wp:extent cx="5612130" cy="1095998"/>
            <wp:effectExtent l="0" t="0" r="0" b="9525"/>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2130" cy="1095998"/>
                    </a:xfrm>
                    <a:prstGeom prst="rect">
                      <a:avLst/>
                    </a:prstGeom>
                    <a:noFill/>
                    <a:ln>
                      <a:noFill/>
                    </a:ln>
                  </pic:spPr>
                </pic:pic>
              </a:graphicData>
            </a:graphic>
          </wp:inline>
        </w:drawing>
      </w:r>
    </w:p>
    <w:p w:rsidR="00F27FBF" w:rsidRDefault="00505995" w:rsidP="00D31414">
      <w:pPr>
        <w:rPr>
          <w:b/>
        </w:rPr>
      </w:pPr>
      <w:r>
        <w:t>L</w:t>
      </w:r>
      <w:r w:rsidR="00514E38">
        <w:t xml:space="preserve">as ampliaciones y mejoras a edificios </w:t>
      </w:r>
      <w:r>
        <w:t>del primer trimestre de 2019 no registraron movimiento alguno.</w:t>
      </w:r>
      <w:r>
        <w:rPr>
          <w:b/>
        </w:rPr>
        <w:t xml:space="preserve"> </w:t>
      </w:r>
    </w:p>
    <w:p w:rsidR="007C4374" w:rsidRDefault="007C4374" w:rsidP="007C4374">
      <w:pPr>
        <w:pStyle w:val="Sinespaciado"/>
        <w:rPr>
          <w:b/>
        </w:rPr>
      </w:pPr>
      <w:r>
        <w:rPr>
          <w:b/>
        </w:rPr>
        <w:lastRenderedPageBreak/>
        <w:t>P</w:t>
      </w:r>
      <w:r w:rsidRPr="00A26B2D">
        <w:rPr>
          <w:b/>
        </w:rPr>
        <w:t>ASIVO.</w:t>
      </w:r>
    </w:p>
    <w:p w:rsidR="007C4374" w:rsidRDefault="007C4374" w:rsidP="007C4374">
      <w:pPr>
        <w:pStyle w:val="Sinespaciado"/>
      </w:pPr>
      <w:r w:rsidRPr="00A26B2D">
        <w:t>PASIVO CIRCULANTE.</w:t>
      </w:r>
    </w:p>
    <w:p w:rsidR="007C4374" w:rsidRDefault="007C4374" w:rsidP="007C4374">
      <w:pPr>
        <w:pStyle w:val="Sinespaciado"/>
      </w:pPr>
      <w:r>
        <w:t>-CUENTAS POR PAGAR A CORTO PLAZO.</w:t>
      </w:r>
    </w:p>
    <w:p w:rsidR="007C4374" w:rsidRDefault="007C4374" w:rsidP="007C4374">
      <w:r w:rsidRPr="00A26B2D">
        <w:t>El rubro está formado por:</w:t>
      </w:r>
    </w:p>
    <w:p w:rsidR="00C95F7C" w:rsidRDefault="00C95F7C" w:rsidP="00D31414">
      <w:r w:rsidRPr="00C95F7C">
        <w:rPr>
          <w:noProof/>
          <w:lang w:eastAsia="es-MX"/>
        </w:rPr>
        <w:lastRenderedPageBreak/>
        <w:drawing>
          <wp:inline distT="0" distB="0" distL="0" distR="0">
            <wp:extent cx="5612130" cy="9024492"/>
            <wp:effectExtent l="0" t="0" r="7620" b="5715"/>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9024492"/>
                    </a:xfrm>
                    <a:prstGeom prst="rect">
                      <a:avLst/>
                    </a:prstGeom>
                    <a:noFill/>
                    <a:ln>
                      <a:noFill/>
                    </a:ln>
                  </pic:spPr>
                </pic:pic>
              </a:graphicData>
            </a:graphic>
          </wp:inline>
        </w:drawing>
      </w:r>
    </w:p>
    <w:p w:rsidR="00CD49F6" w:rsidRDefault="00CD49F6" w:rsidP="00D31414"/>
    <w:p w:rsidR="00CD49F6" w:rsidRDefault="00514E38" w:rsidP="00FE5243">
      <w:pPr>
        <w:jc w:val="both"/>
      </w:pPr>
      <w:r>
        <w:t xml:space="preserve">En lo que respecta  </w:t>
      </w:r>
      <w:r w:rsidR="00E73B7A">
        <w:t>a</w:t>
      </w:r>
      <w:r>
        <w:t xml:space="preserve"> los adeudos  de proveedores</w:t>
      </w:r>
      <w:r w:rsidR="00E73B7A">
        <w:t>,</w:t>
      </w:r>
      <w:r>
        <w:t xml:space="preserve"> </w:t>
      </w:r>
      <w:r w:rsidR="00E73B7A">
        <w:t xml:space="preserve">correspondientes a compra de medicamentos, gastos de alimentación, combustibles, recolección de basura y </w:t>
      </w:r>
      <w:r>
        <w:t xml:space="preserve">servicios básicos </w:t>
      </w:r>
      <w:r w:rsidR="00E73B7A">
        <w:t>al 31 de Marzo de 2019</w:t>
      </w:r>
      <w:r>
        <w:t>.</w:t>
      </w:r>
    </w:p>
    <w:p w:rsidR="00514E38" w:rsidRDefault="00514E38" w:rsidP="00FE5243">
      <w:pPr>
        <w:jc w:val="both"/>
      </w:pPr>
      <w:r>
        <w:t>En lo referente a Acreedores Diversos Personal del Hogar Cabañas,</w:t>
      </w:r>
      <w:r w:rsidR="00FE5243">
        <w:t xml:space="preserve"> </w:t>
      </w:r>
      <w:r>
        <w:t>los adeudos corresponden a importes no pagados por concepto de gastos de nómina por estar en procesos judiciales de pago.</w:t>
      </w:r>
    </w:p>
    <w:p w:rsidR="00E73B7A" w:rsidRDefault="00514E38" w:rsidP="00FE5243">
      <w:pPr>
        <w:jc w:val="both"/>
      </w:pPr>
      <w:r>
        <w:t>En lo referente a Acreedores Diversos Varios, los adeudos corresponden a saldos pendientes de pago  por concepto de retenciones en exceso de  nómina, por devolución electrónica en el pago de nómina y un pago pendiente de Asimilados a salarios</w:t>
      </w:r>
      <w:r w:rsidR="00E73B7A">
        <w:t>.</w:t>
      </w:r>
    </w:p>
    <w:p w:rsidR="00514E38" w:rsidRDefault="00E73B7A" w:rsidP="00FE5243">
      <w:pPr>
        <w:jc w:val="both"/>
      </w:pPr>
      <w:r>
        <w:t xml:space="preserve"> </w:t>
      </w:r>
      <w:r w:rsidR="00514E38">
        <w:t xml:space="preserve">En lo referente a Acreedores Diversos </w:t>
      </w:r>
      <w:proofErr w:type="spellStart"/>
      <w:r w:rsidR="00514E38">
        <w:t>Fonac</w:t>
      </w:r>
      <w:r w:rsidR="00FE5243">
        <w:t>ot</w:t>
      </w:r>
      <w:proofErr w:type="spellEnd"/>
      <w:r w:rsidR="00514E38">
        <w:t>, corresponde a las retenciones efectuadas a los trabajadores por su</w:t>
      </w:r>
      <w:r w:rsidR="00FE5243">
        <w:t xml:space="preserve">s adeudos, por el mes de </w:t>
      </w:r>
      <w:r>
        <w:t>Marzo de 2019.</w:t>
      </w:r>
    </w:p>
    <w:p w:rsidR="00800A91" w:rsidRDefault="00FE5243" w:rsidP="00B43860">
      <w:pPr>
        <w:jc w:val="both"/>
        <w:rPr>
          <w:b/>
        </w:rPr>
      </w:pPr>
      <w:r>
        <w:t xml:space="preserve">Los impuestos por pagar corresponden a las obligaciones fiscales por retenciones de </w:t>
      </w:r>
      <w:proofErr w:type="spellStart"/>
      <w:r>
        <w:t>Isr</w:t>
      </w:r>
      <w:proofErr w:type="spellEnd"/>
      <w:r>
        <w:t xml:space="preserve"> de los trabajadores, por asimilados a salarios y retenciones por el pago de honorarios por el mes de </w:t>
      </w:r>
      <w:r w:rsidR="00E73B7A">
        <w:t xml:space="preserve">Marzo de 2019. </w:t>
      </w:r>
      <w:proofErr w:type="spellStart"/>
      <w:r w:rsidR="00E73B7A">
        <w:t>Asi</w:t>
      </w:r>
      <w:proofErr w:type="spellEnd"/>
      <w:r w:rsidR="00E73B7A">
        <w:t xml:space="preserve"> como las aportaciones al Sedar </w:t>
      </w:r>
      <w:r w:rsidR="0092769A">
        <w:t>y Seguro Social por el mes de Marzo de 2019.</w:t>
      </w:r>
    </w:p>
    <w:p w:rsidR="00B15484" w:rsidRDefault="00B15484" w:rsidP="00B15484">
      <w:pPr>
        <w:pStyle w:val="Prrafodelista"/>
        <w:ind w:left="0"/>
        <w:rPr>
          <w:b/>
        </w:rPr>
      </w:pPr>
    </w:p>
    <w:p w:rsidR="00B15484" w:rsidRPr="00B15484" w:rsidRDefault="00CD49F6" w:rsidP="00B15484">
      <w:pPr>
        <w:pStyle w:val="Prrafodelista"/>
        <w:ind w:left="0"/>
        <w:rPr>
          <w:b/>
        </w:rPr>
      </w:pPr>
      <w:r w:rsidRPr="00B15484">
        <w:rPr>
          <w:b/>
        </w:rPr>
        <w:t>NOTAS AL ESTADO DE ACTIVIDADES.</w:t>
      </w:r>
    </w:p>
    <w:p w:rsidR="00B15484" w:rsidRDefault="00B15484" w:rsidP="00B15484">
      <w:pPr>
        <w:pStyle w:val="Prrafodelista"/>
        <w:ind w:left="0"/>
        <w:rPr>
          <w:b/>
        </w:rPr>
      </w:pPr>
      <w:r w:rsidRPr="00B15484">
        <w:rPr>
          <w:b/>
        </w:rPr>
        <w:t>E</w:t>
      </w:r>
      <w:r w:rsidR="00B43DB3" w:rsidRPr="00B15484">
        <w:rPr>
          <w:b/>
        </w:rPr>
        <w:t>GRESOS Y OTROS BENEFICIOS</w:t>
      </w:r>
      <w:r>
        <w:rPr>
          <w:b/>
        </w:rPr>
        <w:t xml:space="preserve"> </w:t>
      </w:r>
    </w:p>
    <w:p w:rsidR="00B15484" w:rsidRDefault="00B15484" w:rsidP="00B15484">
      <w:pPr>
        <w:pStyle w:val="Prrafodelista"/>
        <w:ind w:left="0"/>
        <w:rPr>
          <w:b/>
        </w:rPr>
      </w:pPr>
      <w:r>
        <w:rPr>
          <w:b/>
        </w:rPr>
        <w:t>S</w:t>
      </w:r>
      <w:r w:rsidR="00B43DB3" w:rsidRPr="00B15484">
        <w:rPr>
          <w:b/>
        </w:rPr>
        <w:t>e integra de los siguientes rubros:</w:t>
      </w:r>
    </w:p>
    <w:p w:rsidR="00C54E15" w:rsidRDefault="00C54E15" w:rsidP="00B15484">
      <w:pPr>
        <w:pStyle w:val="Prrafodelista"/>
        <w:ind w:left="0"/>
        <w:rPr>
          <w:b/>
        </w:rPr>
      </w:pPr>
      <w:r w:rsidRPr="00C54E15">
        <w:rPr>
          <w:noProof/>
          <w:lang w:eastAsia="es-MX"/>
        </w:rPr>
        <w:lastRenderedPageBreak/>
        <w:drawing>
          <wp:inline distT="0" distB="0" distL="0" distR="0">
            <wp:extent cx="5612130" cy="6389433"/>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2130" cy="6389433"/>
                    </a:xfrm>
                    <a:prstGeom prst="rect">
                      <a:avLst/>
                    </a:prstGeom>
                    <a:noFill/>
                    <a:ln>
                      <a:noFill/>
                    </a:ln>
                  </pic:spPr>
                </pic:pic>
              </a:graphicData>
            </a:graphic>
          </wp:inline>
        </w:drawing>
      </w:r>
    </w:p>
    <w:p w:rsidR="00FE5243" w:rsidRDefault="00FE5243" w:rsidP="00B43DB3">
      <w:r>
        <w:t>Se muestran los diferentes rubros en los cuales el Hogar Cabañas recibió ingresos.</w:t>
      </w:r>
    </w:p>
    <w:p w:rsidR="00B43DB3" w:rsidRDefault="00B43DB3" w:rsidP="00C54E15">
      <w:pPr>
        <w:jc w:val="both"/>
      </w:pPr>
      <w:r w:rsidRPr="00B43DB3">
        <w:t xml:space="preserve">Los rubros marcados con asterisco fueron clasificados en </w:t>
      </w:r>
      <w:r w:rsidR="00C54E15">
        <w:t xml:space="preserve">Marzo de 2018 </w:t>
      </w:r>
      <w:r w:rsidRPr="00B43DB3">
        <w:t>en otros rubros, atendiendo la congruencia con el pl</w:t>
      </w:r>
      <w:r w:rsidR="00C54E15">
        <w:t>an de cuentas se integra en 2019</w:t>
      </w:r>
      <w:r w:rsidRPr="00B43DB3">
        <w:t xml:space="preserve"> en estos nuevos rubros.</w:t>
      </w:r>
    </w:p>
    <w:p w:rsidR="00595702" w:rsidRPr="00B43DB3" w:rsidRDefault="00C54E15" w:rsidP="00C54E15">
      <w:pPr>
        <w:jc w:val="both"/>
      </w:pPr>
      <w:r>
        <w:t>Los ingresos por refrendos Vehiculares corresponden a la recaudación de Enero a Marzo de 2019, importe que aún no ha sido radicado a la institución.</w:t>
      </w:r>
    </w:p>
    <w:p w:rsidR="00B43DB3" w:rsidRPr="00C45C76" w:rsidRDefault="00C45C76" w:rsidP="00C54E15">
      <w:pPr>
        <w:jc w:val="both"/>
      </w:pPr>
      <w:r w:rsidRPr="00C45C76">
        <w:lastRenderedPageBreak/>
        <w:t xml:space="preserve">Se integra en rubro de otros ingresos y beneficios varios, la penalización efectuada a la compañía </w:t>
      </w:r>
      <w:proofErr w:type="spellStart"/>
      <w:r w:rsidRPr="00C45C76">
        <w:t>Centrax</w:t>
      </w:r>
      <w:proofErr w:type="spellEnd"/>
      <w:r w:rsidRPr="00C45C76">
        <w:t>, S.A. de C.V. por incumplimiento al contrato de suministro de Lav</w:t>
      </w:r>
      <w:r>
        <w:t>adoras y secadoras industriales, por la cantidad de: $ 177,048.62</w:t>
      </w:r>
    </w:p>
    <w:p w:rsidR="00B43DB3" w:rsidRDefault="00B43DB3" w:rsidP="00C54E15">
      <w:pPr>
        <w:jc w:val="both"/>
        <w:rPr>
          <w:b/>
        </w:rPr>
      </w:pPr>
    </w:p>
    <w:p w:rsidR="00B43DB3" w:rsidRDefault="00B43DB3" w:rsidP="00B43DB3">
      <w:pPr>
        <w:rPr>
          <w:b/>
        </w:rPr>
      </w:pPr>
      <w:r>
        <w:rPr>
          <w:b/>
        </w:rPr>
        <w:t>-GASTOS Y OTRAS P</w:t>
      </w:r>
      <w:r w:rsidR="00BF293B">
        <w:rPr>
          <w:b/>
        </w:rPr>
        <w:t>É</w:t>
      </w:r>
      <w:r>
        <w:rPr>
          <w:b/>
        </w:rPr>
        <w:t>RDIDAS.</w:t>
      </w:r>
    </w:p>
    <w:p w:rsidR="00B43DB3" w:rsidRPr="00B43DB3" w:rsidRDefault="00B43DB3" w:rsidP="00B43DB3">
      <w:r w:rsidRPr="00B43DB3">
        <w:t>Se integra de los siguientes rubros:</w:t>
      </w:r>
    </w:p>
    <w:p w:rsidR="00B43DB3" w:rsidRDefault="00173259" w:rsidP="00D31414">
      <w:pPr>
        <w:rPr>
          <w:b/>
        </w:rPr>
      </w:pPr>
      <w:r w:rsidRPr="00173259">
        <w:rPr>
          <w:noProof/>
          <w:lang w:eastAsia="es-MX"/>
        </w:rPr>
        <w:drawing>
          <wp:inline distT="0" distB="0" distL="0" distR="0">
            <wp:extent cx="5612130" cy="2650604"/>
            <wp:effectExtent l="0" t="0" r="7620"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2130" cy="2650604"/>
                    </a:xfrm>
                    <a:prstGeom prst="rect">
                      <a:avLst/>
                    </a:prstGeom>
                    <a:noFill/>
                    <a:ln>
                      <a:noFill/>
                    </a:ln>
                  </pic:spPr>
                </pic:pic>
              </a:graphicData>
            </a:graphic>
          </wp:inline>
        </w:drawing>
      </w:r>
    </w:p>
    <w:p w:rsidR="00BF293B" w:rsidRPr="00B43860" w:rsidRDefault="00B43860" w:rsidP="00BF293B">
      <w:r w:rsidRPr="00B43860">
        <w:t>Se integran los diferentes gastos en que fueron ejercidos los recursos, incluidas las adquisiciones por bienes muebles e inmuebles.</w:t>
      </w:r>
    </w:p>
    <w:p w:rsidR="00BF293B" w:rsidRPr="00BF293B" w:rsidRDefault="00BF293B" w:rsidP="00BF293B">
      <w:pPr>
        <w:pStyle w:val="Prrafodelista"/>
        <w:ind w:left="1080"/>
        <w:rPr>
          <w:b/>
        </w:rPr>
      </w:pPr>
    </w:p>
    <w:p w:rsidR="00BF293B" w:rsidRDefault="00BF293B" w:rsidP="00BF293B">
      <w:pPr>
        <w:rPr>
          <w:b/>
        </w:rPr>
      </w:pPr>
      <w:r>
        <w:rPr>
          <w:b/>
        </w:rPr>
        <w:t>III.- NOTAS AL ESTADO DE VARIACION A LA HACIENDA P</w:t>
      </w:r>
      <w:r w:rsidR="00CA4DC9">
        <w:rPr>
          <w:b/>
        </w:rPr>
        <w:t>Ú</w:t>
      </w:r>
      <w:r>
        <w:rPr>
          <w:b/>
        </w:rPr>
        <w:t>BLICA.</w:t>
      </w:r>
    </w:p>
    <w:p w:rsidR="006C7450" w:rsidRDefault="006C7450" w:rsidP="00BF293B">
      <w:pPr>
        <w:rPr>
          <w:b/>
        </w:rPr>
      </w:pPr>
      <w:r w:rsidRPr="006C7450">
        <w:rPr>
          <w:noProof/>
          <w:lang w:eastAsia="es-MX"/>
        </w:rPr>
        <w:drawing>
          <wp:inline distT="0" distB="0" distL="0" distR="0">
            <wp:extent cx="5514975" cy="1343025"/>
            <wp:effectExtent l="0" t="0" r="9525" b="9525"/>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14975" cy="1343025"/>
                    </a:xfrm>
                    <a:prstGeom prst="rect">
                      <a:avLst/>
                    </a:prstGeom>
                    <a:noFill/>
                    <a:ln>
                      <a:noFill/>
                    </a:ln>
                  </pic:spPr>
                </pic:pic>
              </a:graphicData>
            </a:graphic>
          </wp:inline>
        </w:drawing>
      </w:r>
    </w:p>
    <w:p w:rsidR="005C1755" w:rsidRPr="001513A2" w:rsidRDefault="005C1755" w:rsidP="001513A2">
      <w:pPr>
        <w:jc w:val="both"/>
      </w:pPr>
      <w:r w:rsidRPr="001513A2">
        <w:t xml:space="preserve">Se informa que no </w:t>
      </w:r>
      <w:r w:rsidR="00EE4985" w:rsidRPr="001513A2">
        <w:t>existieron modificaciones</w:t>
      </w:r>
      <w:r w:rsidRPr="001513A2">
        <w:t xml:space="preserve"> al patrimonio contribuido en 2018</w:t>
      </w:r>
      <w:r w:rsidR="006C7450">
        <w:t>, ni en el trimestre de Enero a Marzo de 2019</w:t>
      </w:r>
      <w:r w:rsidRPr="001513A2">
        <w:t>.</w:t>
      </w:r>
    </w:p>
    <w:p w:rsidR="00BF293B" w:rsidRDefault="00BF293B" w:rsidP="00BF293B">
      <w:pPr>
        <w:rPr>
          <w:b/>
        </w:rPr>
      </w:pPr>
    </w:p>
    <w:p w:rsidR="00F27FBF" w:rsidRDefault="00F27FBF" w:rsidP="00BF293B">
      <w:pPr>
        <w:rPr>
          <w:b/>
        </w:rPr>
      </w:pPr>
    </w:p>
    <w:p w:rsidR="00F27FBF" w:rsidRDefault="00F27FBF" w:rsidP="00BF293B">
      <w:pPr>
        <w:rPr>
          <w:b/>
        </w:rPr>
      </w:pPr>
    </w:p>
    <w:p w:rsidR="00F27FBF" w:rsidRDefault="00F27FBF" w:rsidP="00BF293B">
      <w:pPr>
        <w:rPr>
          <w:b/>
        </w:rPr>
      </w:pPr>
    </w:p>
    <w:p w:rsidR="00F27FBF" w:rsidRDefault="00F27FBF" w:rsidP="00BF293B">
      <w:pPr>
        <w:rPr>
          <w:b/>
        </w:rPr>
      </w:pPr>
    </w:p>
    <w:p w:rsidR="00BF293B" w:rsidRDefault="00BF293B" w:rsidP="00BF293B">
      <w:pPr>
        <w:rPr>
          <w:b/>
        </w:rPr>
      </w:pPr>
      <w:r>
        <w:rPr>
          <w:b/>
        </w:rPr>
        <w:t>IV.- NOTAS AL ESTADO DE FLUJOS DE EFECTIVO.</w:t>
      </w:r>
    </w:p>
    <w:p w:rsidR="00BF293B" w:rsidRDefault="00BF293B" w:rsidP="00BF293B">
      <w:pPr>
        <w:rPr>
          <w:b/>
        </w:rPr>
      </w:pPr>
      <w:r>
        <w:rPr>
          <w:b/>
        </w:rPr>
        <w:t>-EFECTIVO Y EQUIVALENTES.</w:t>
      </w:r>
    </w:p>
    <w:p w:rsidR="00BF293B" w:rsidRDefault="00BF293B" w:rsidP="00BF293B">
      <w:r w:rsidRPr="00926CCB">
        <w:t>El rubro de efectivo y equivalentes se compone</w:t>
      </w:r>
      <w:r w:rsidR="00926CCB" w:rsidRPr="00926CCB">
        <w:t xml:space="preserve"> de lo siguiente</w:t>
      </w:r>
      <w:r w:rsidRPr="00926CCB">
        <w:t>:</w:t>
      </w:r>
    </w:p>
    <w:p w:rsidR="00453718" w:rsidRPr="00926CCB" w:rsidRDefault="00453718" w:rsidP="00BF293B">
      <w:r w:rsidRPr="00453718">
        <w:rPr>
          <w:noProof/>
          <w:lang w:eastAsia="es-MX"/>
        </w:rPr>
        <w:drawing>
          <wp:inline distT="0" distB="0" distL="0" distR="0">
            <wp:extent cx="5105400" cy="1724025"/>
            <wp:effectExtent l="0" t="0" r="0" b="9525"/>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05400" cy="1724025"/>
                    </a:xfrm>
                    <a:prstGeom prst="rect">
                      <a:avLst/>
                    </a:prstGeom>
                    <a:noFill/>
                    <a:ln>
                      <a:noFill/>
                    </a:ln>
                  </pic:spPr>
                </pic:pic>
              </a:graphicData>
            </a:graphic>
          </wp:inline>
        </w:drawing>
      </w:r>
    </w:p>
    <w:p w:rsidR="00453718" w:rsidRDefault="00453718" w:rsidP="00453718">
      <w:pPr>
        <w:jc w:val="both"/>
      </w:pPr>
      <w:r>
        <w:t>Los fondos fijos de caja en 2019 fueron asignados a los servidores públicos mencionados.</w:t>
      </w:r>
    </w:p>
    <w:p w:rsidR="00453718" w:rsidRDefault="00453718" w:rsidP="00453718">
      <w:pPr>
        <w:jc w:val="both"/>
      </w:pPr>
      <w:r>
        <w:t>La cuenta Bancaria de Banco Banorte S. A., cta. no. 577817151 es la cuenta usada para pago de gastos en general.</w:t>
      </w:r>
    </w:p>
    <w:p w:rsidR="00453718" w:rsidRDefault="00453718" w:rsidP="00453718">
      <w:pPr>
        <w:jc w:val="both"/>
      </w:pPr>
      <w:r>
        <w:t xml:space="preserve">La cuenta Bancaria de Banco Banorte, S.A., cta. no. 0448920245 es la cuenta usada para el pago de nómina y gastos inherentes. </w:t>
      </w:r>
    </w:p>
    <w:p w:rsidR="00453718" w:rsidRDefault="00453718" w:rsidP="00453718">
      <w:pPr>
        <w:jc w:val="both"/>
      </w:pPr>
      <w:r>
        <w:t xml:space="preserve">La cuenta Bancaria de Banco </w:t>
      </w:r>
      <w:proofErr w:type="spellStart"/>
      <w:r>
        <w:t>Bansi</w:t>
      </w:r>
      <w:proofErr w:type="spellEnd"/>
      <w:r>
        <w:t>, S.A.  no. cta. 097195633 esta cuenta fue usada para el pago de retenciones y aportaciones de la Dirección de Pensiones del Estado de Jalisco.</w:t>
      </w:r>
    </w:p>
    <w:p w:rsidR="00453718" w:rsidRDefault="00453718" w:rsidP="00453718">
      <w:pPr>
        <w:jc w:val="both"/>
      </w:pPr>
      <w:r>
        <w:t>La cuenta de inversión de Banco Banorte, S.A. no. 0501325828 (portafolio de inversiones a la vista con vencimiento diario) tiene como finalidad recibir los recursos excedentes de la cuenta de Subsidio estatal a fin de optimizar su uso y manejo.</w:t>
      </w:r>
    </w:p>
    <w:p w:rsidR="00453718" w:rsidRPr="00A74473" w:rsidRDefault="00453718" w:rsidP="00453718">
      <w:pPr>
        <w:jc w:val="both"/>
      </w:pPr>
      <w:r>
        <w:t>La cuenta de inversión de Banco Banorte, S.A. no. 0501325792 (portafolio de inversiones a la vista con vencimiento diario), tiene como finalidad recibir los recursos excedentes de la cuenta de gastos en general, a fin de obtener productos financieros de dichos excedentes.</w:t>
      </w:r>
    </w:p>
    <w:p w:rsidR="00453718" w:rsidRPr="00D31414" w:rsidRDefault="00453718" w:rsidP="00453718">
      <w:pPr>
        <w:rPr>
          <w:b/>
        </w:rPr>
      </w:pPr>
    </w:p>
    <w:p w:rsidR="00F27FBF" w:rsidRDefault="00F27FBF" w:rsidP="00BF293B">
      <w:pPr>
        <w:rPr>
          <w:b/>
        </w:rPr>
      </w:pPr>
      <w:r>
        <w:rPr>
          <w:b/>
        </w:rPr>
        <w:t>Bienes muebles.</w:t>
      </w:r>
    </w:p>
    <w:p w:rsidR="00C55BCC" w:rsidRDefault="001F61FE" w:rsidP="00BF293B">
      <w:r>
        <w:rPr>
          <w:b/>
        </w:rPr>
        <w:t xml:space="preserve"> </w:t>
      </w:r>
      <w:r w:rsidR="00E215F9" w:rsidRPr="00E215F9">
        <w:t>Las adquisiciones de bienes muebles adquiri</w:t>
      </w:r>
      <w:r w:rsidR="00453718">
        <w:t>das durante el ejercicio de 2019</w:t>
      </w:r>
      <w:r w:rsidR="00F27FBF">
        <w:t xml:space="preserve"> fueron </w:t>
      </w:r>
      <w:r w:rsidR="00152FEA">
        <w:t>ejercidas</w:t>
      </w:r>
      <w:r w:rsidR="00E215F9" w:rsidRPr="00E215F9">
        <w:t xml:space="preserve">  con recursos presupuestados del capítulo 5000, mismas que fueron capitalizadas en el activo no circulante en los diferentes rubros que lo com</w:t>
      </w:r>
      <w:r w:rsidR="00442DF5">
        <w:t>ponen de acuerdo a la normas de CONAC.</w:t>
      </w:r>
    </w:p>
    <w:p w:rsidR="00F27FBF" w:rsidRDefault="00F27FBF" w:rsidP="00BF293B">
      <w:pPr>
        <w:rPr>
          <w:b/>
        </w:rPr>
      </w:pPr>
    </w:p>
    <w:p w:rsidR="00F27FBF" w:rsidRDefault="00F27FBF" w:rsidP="00BF293B">
      <w:pPr>
        <w:rPr>
          <w:b/>
        </w:rPr>
      </w:pPr>
    </w:p>
    <w:p w:rsidR="00F27FBF" w:rsidRDefault="00F27FBF" w:rsidP="00BF293B">
      <w:pPr>
        <w:rPr>
          <w:b/>
        </w:rPr>
      </w:pPr>
    </w:p>
    <w:p w:rsidR="00F27FBF" w:rsidRDefault="00F27FBF" w:rsidP="00BF293B">
      <w:pPr>
        <w:rPr>
          <w:b/>
        </w:rPr>
      </w:pPr>
    </w:p>
    <w:p w:rsidR="00F27FBF" w:rsidRDefault="00F27FBF" w:rsidP="00BF293B">
      <w:pPr>
        <w:rPr>
          <w:b/>
        </w:rPr>
      </w:pPr>
    </w:p>
    <w:p w:rsidR="00F27FBF" w:rsidRDefault="00F27FBF" w:rsidP="00BF293B">
      <w:pPr>
        <w:rPr>
          <w:b/>
        </w:rPr>
      </w:pPr>
    </w:p>
    <w:p w:rsidR="00442DF5" w:rsidRDefault="00442DF5" w:rsidP="00BF293B"/>
    <w:p w:rsidR="00E215F9" w:rsidRPr="00E215F9" w:rsidRDefault="00E215F9" w:rsidP="00E215F9">
      <w:pPr>
        <w:jc w:val="center"/>
        <w:rPr>
          <w:b/>
          <w:sz w:val="28"/>
          <w:szCs w:val="28"/>
        </w:rPr>
      </w:pPr>
      <w:r w:rsidRPr="00E215F9">
        <w:rPr>
          <w:b/>
          <w:sz w:val="28"/>
          <w:szCs w:val="28"/>
        </w:rPr>
        <w:t>NOTAS DE MEMORIA (CUENTAS DE ORDEN)</w:t>
      </w:r>
    </w:p>
    <w:p w:rsidR="00E215F9" w:rsidRPr="00E215F9" w:rsidRDefault="00E215F9" w:rsidP="00BF293B"/>
    <w:p w:rsidR="00E215F9" w:rsidRPr="00E215F9" w:rsidRDefault="00E215F9" w:rsidP="00E215F9">
      <w:pPr>
        <w:spacing w:after="0" w:line="240" w:lineRule="auto"/>
        <w:rPr>
          <w:rFonts w:ascii="Calibri" w:eastAsia="Times New Roman" w:hAnsi="Calibri" w:cs="Calibri"/>
          <w:b/>
          <w:bCs/>
          <w:color w:val="000000"/>
          <w:lang w:eastAsia="es-MX"/>
        </w:rPr>
      </w:pPr>
      <w:r w:rsidRPr="00E215F9">
        <w:rPr>
          <w:rFonts w:ascii="Calibri" w:eastAsia="Times New Roman" w:hAnsi="Calibri" w:cs="Calibri"/>
          <w:b/>
          <w:bCs/>
          <w:color w:val="000000"/>
          <w:lang w:eastAsia="es-MX"/>
        </w:rPr>
        <w:t>CUENTAS DE ORDEN CONTABLES Y PRESUPUESTARIAS.</w:t>
      </w:r>
    </w:p>
    <w:p w:rsidR="00E215F9" w:rsidRPr="00E215F9" w:rsidRDefault="00E215F9" w:rsidP="00E215F9">
      <w:pPr>
        <w:rPr>
          <w:b/>
        </w:rPr>
      </w:pPr>
    </w:p>
    <w:p w:rsidR="00B1041A" w:rsidRDefault="001E12F8" w:rsidP="00BF293B">
      <w:pPr>
        <w:rPr>
          <w:b/>
        </w:rPr>
      </w:pPr>
      <w:r w:rsidRPr="001E12F8">
        <w:rPr>
          <w:b/>
        </w:rPr>
        <w:t>CONTABLES.</w:t>
      </w:r>
    </w:p>
    <w:p w:rsidR="00B1041A" w:rsidRDefault="00B1041A" w:rsidP="00BF293B">
      <w:pPr>
        <w:rPr>
          <w:b/>
        </w:rPr>
      </w:pPr>
      <w:r w:rsidRPr="00B1041A">
        <w:rPr>
          <w:noProof/>
          <w:lang w:eastAsia="es-MX"/>
        </w:rPr>
        <w:drawing>
          <wp:inline distT="0" distB="0" distL="0" distR="0">
            <wp:extent cx="5612130" cy="5690076"/>
            <wp:effectExtent l="0" t="0" r="7620" b="635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12130" cy="5690076"/>
                    </a:xfrm>
                    <a:prstGeom prst="rect">
                      <a:avLst/>
                    </a:prstGeom>
                    <a:noFill/>
                    <a:ln>
                      <a:noFill/>
                    </a:ln>
                  </pic:spPr>
                </pic:pic>
              </a:graphicData>
            </a:graphic>
          </wp:inline>
        </w:drawing>
      </w:r>
    </w:p>
    <w:p w:rsidR="00442DF5" w:rsidRDefault="00442DF5" w:rsidP="00BF293B">
      <w:pPr>
        <w:rPr>
          <w:b/>
        </w:rPr>
      </w:pPr>
    </w:p>
    <w:p w:rsidR="00442DF5" w:rsidRPr="00045FB8" w:rsidRDefault="00045FB8" w:rsidP="00045FB8">
      <w:pPr>
        <w:jc w:val="both"/>
      </w:pPr>
      <w:r w:rsidRPr="00045FB8">
        <w:t xml:space="preserve">Los seguros </w:t>
      </w:r>
      <w:r w:rsidR="00B1041A">
        <w:t xml:space="preserve">de vehículos fueron </w:t>
      </w:r>
      <w:r w:rsidRPr="00045FB8">
        <w:t>contratados</w:t>
      </w:r>
      <w:r w:rsidR="00B1041A">
        <w:t xml:space="preserve"> por Licitación realizada por la Secretaría de Administración,</w:t>
      </w:r>
      <w:r w:rsidRPr="00045FB8">
        <w:t xml:space="preserve"> se encuentran valorizados con fecha </w:t>
      </w:r>
      <w:r w:rsidR="00B1041A">
        <w:t xml:space="preserve">1 </w:t>
      </w:r>
      <w:r w:rsidRPr="00045FB8">
        <w:t xml:space="preserve">de </w:t>
      </w:r>
      <w:r w:rsidR="00B1041A">
        <w:t xml:space="preserve">Enero de </w:t>
      </w:r>
      <w:r w:rsidRPr="00045FB8">
        <w:t>201</w:t>
      </w:r>
      <w:r w:rsidR="00B1041A">
        <w:t>9</w:t>
      </w:r>
      <w:r w:rsidRPr="00045FB8">
        <w:t>,</w:t>
      </w:r>
      <w:r w:rsidR="00B1041A">
        <w:t xml:space="preserve"> de acuerdo a la póliza vigente. El seguro de Vida del personal fue contratado por el organismo, de acuerdo a las especificaciones marcada en el Contrato colectivo de trabajo. El aseguramiento de los edificios del Hogar Cabañas esta valorizado al 31 de </w:t>
      </w:r>
      <w:r w:rsidR="00653D5A">
        <w:t>Marzo  de 2019.</w:t>
      </w:r>
    </w:p>
    <w:p w:rsidR="00442DF5" w:rsidRDefault="00442DF5" w:rsidP="00BF293B">
      <w:pPr>
        <w:rPr>
          <w:b/>
        </w:rPr>
      </w:pPr>
    </w:p>
    <w:p w:rsidR="00442DF5" w:rsidRDefault="00442DF5" w:rsidP="00BF293B">
      <w:pPr>
        <w:rPr>
          <w:b/>
        </w:rPr>
      </w:pPr>
      <w:r w:rsidRPr="00442DF5">
        <w:rPr>
          <w:noProof/>
          <w:lang w:eastAsia="es-MX"/>
        </w:rPr>
        <w:drawing>
          <wp:inline distT="0" distB="0" distL="0" distR="0">
            <wp:extent cx="5612130" cy="1169194"/>
            <wp:effectExtent l="0" t="0" r="762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12130" cy="1169194"/>
                    </a:xfrm>
                    <a:prstGeom prst="rect">
                      <a:avLst/>
                    </a:prstGeom>
                    <a:noFill/>
                    <a:ln>
                      <a:noFill/>
                    </a:ln>
                  </pic:spPr>
                </pic:pic>
              </a:graphicData>
            </a:graphic>
          </wp:inline>
        </w:drawing>
      </w:r>
    </w:p>
    <w:p w:rsidR="00442DF5" w:rsidRPr="00F27FBF" w:rsidRDefault="00F27FBF" w:rsidP="00BF293B">
      <w:r w:rsidRPr="00F27FBF">
        <w:t xml:space="preserve">Los </w:t>
      </w:r>
      <w:r>
        <w:t xml:space="preserve">contratos de comodatos de los </w:t>
      </w:r>
      <w:r w:rsidRPr="00F27FBF">
        <w:t>edificios ocupados como casa habitación</w:t>
      </w:r>
      <w:r>
        <w:t xml:space="preserve"> fueron suscritos con el Gobierno del Estado de Jalisco</w:t>
      </w:r>
      <w:r w:rsidR="000B4A2D">
        <w:t xml:space="preserve"> y el correspondiente a</w:t>
      </w:r>
      <w:r>
        <w:t xml:space="preserve"> </w:t>
      </w:r>
      <w:r w:rsidR="000B4A2D">
        <w:t>C</w:t>
      </w:r>
      <w:r>
        <w:t>asa para varones</w:t>
      </w:r>
      <w:r w:rsidR="000441E1">
        <w:t>,</w:t>
      </w:r>
      <w:r>
        <w:t xml:space="preserve"> fue </w:t>
      </w:r>
      <w:r w:rsidR="000B4A2D">
        <w:t xml:space="preserve">suscrito </w:t>
      </w:r>
      <w:r>
        <w:t>bajo la sustitución de comodatario con CAPI, A.C.</w:t>
      </w:r>
    </w:p>
    <w:p w:rsidR="001E12F8" w:rsidRDefault="001E12F8" w:rsidP="00BF293B">
      <w:pPr>
        <w:rPr>
          <w:b/>
        </w:rPr>
      </w:pPr>
      <w:r w:rsidRPr="001E12F8">
        <w:rPr>
          <w:noProof/>
          <w:lang w:eastAsia="es-MX"/>
        </w:rPr>
        <w:drawing>
          <wp:inline distT="0" distB="0" distL="0" distR="0">
            <wp:extent cx="5612130" cy="3237376"/>
            <wp:effectExtent l="0" t="0" r="7620" b="127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12130" cy="3237376"/>
                    </a:xfrm>
                    <a:prstGeom prst="rect">
                      <a:avLst/>
                    </a:prstGeom>
                    <a:noFill/>
                    <a:ln>
                      <a:noFill/>
                    </a:ln>
                  </pic:spPr>
                </pic:pic>
              </a:graphicData>
            </a:graphic>
          </wp:inline>
        </w:drawing>
      </w:r>
    </w:p>
    <w:p w:rsidR="00570069" w:rsidRPr="00F27FBF" w:rsidRDefault="00F27FBF" w:rsidP="00BF293B">
      <w:r w:rsidRPr="00F27FBF">
        <w:t>Fianzas otorgadas para garantizar defectos o vicios ocultos de las remodelaciones y adquisiciones realizadas para los proyectos estratégicos 2018.</w:t>
      </w:r>
    </w:p>
    <w:p w:rsidR="00570069" w:rsidRDefault="00570069" w:rsidP="00BF293B">
      <w:pPr>
        <w:rPr>
          <w:b/>
        </w:rPr>
      </w:pPr>
    </w:p>
    <w:p w:rsidR="00570069" w:rsidRDefault="00570069" w:rsidP="00BF293B">
      <w:pPr>
        <w:rPr>
          <w:b/>
        </w:rPr>
      </w:pPr>
    </w:p>
    <w:p w:rsidR="00570069" w:rsidRDefault="00570069" w:rsidP="00BF293B">
      <w:pPr>
        <w:rPr>
          <w:b/>
        </w:rPr>
      </w:pPr>
      <w:r w:rsidRPr="00570069">
        <w:rPr>
          <w:noProof/>
          <w:lang w:eastAsia="es-MX"/>
        </w:rPr>
        <w:lastRenderedPageBreak/>
        <w:drawing>
          <wp:inline distT="0" distB="0" distL="0" distR="0">
            <wp:extent cx="5612130" cy="1078560"/>
            <wp:effectExtent l="0" t="0" r="7620" b="762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2130" cy="1078560"/>
                    </a:xfrm>
                    <a:prstGeom prst="rect">
                      <a:avLst/>
                    </a:prstGeom>
                    <a:noFill/>
                    <a:ln>
                      <a:noFill/>
                    </a:ln>
                  </pic:spPr>
                </pic:pic>
              </a:graphicData>
            </a:graphic>
          </wp:inline>
        </w:drawing>
      </w:r>
    </w:p>
    <w:p w:rsidR="006E452C" w:rsidRPr="00F27FBF" w:rsidRDefault="00F27FBF" w:rsidP="00BF293B">
      <w:r w:rsidRPr="00F27FBF">
        <w:t>Tumbas adquiridas en propiedad por el Hogar Cabañas para la inhumación de cuerpos de los NNA fallecidos durante su estancia o de familiares cercanos en caso de ser autorizada su inhumación por necesidad urgente.</w:t>
      </w:r>
    </w:p>
    <w:p w:rsidR="00570069" w:rsidRDefault="006E452C" w:rsidP="00BF293B">
      <w:pPr>
        <w:rPr>
          <w:b/>
        </w:rPr>
      </w:pPr>
      <w:r w:rsidRPr="006E452C">
        <w:rPr>
          <w:noProof/>
          <w:lang w:eastAsia="es-MX"/>
        </w:rPr>
        <w:drawing>
          <wp:inline distT="0" distB="0" distL="0" distR="0">
            <wp:extent cx="5612130" cy="581054"/>
            <wp:effectExtent l="0" t="0" r="7620" b="9525"/>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12130" cy="581054"/>
                    </a:xfrm>
                    <a:prstGeom prst="rect">
                      <a:avLst/>
                    </a:prstGeom>
                    <a:noFill/>
                    <a:ln>
                      <a:noFill/>
                    </a:ln>
                  </pic:spPr>
                </pic:pic>
              </a:graphicData>
            </a:graphic>
          </wp:inline>
        </w:drawing>
      </w:r>
    </w:p>
    <w:p w:rsidR="00F27FBF" w:rsidRDefault="00F27FBF" w:rsidP="00BF293B">
      <w:r w:rsidRPr="00F27FBF">
        <w:t>Legado de casa habitación a favor de Hogar Cabañas, en sucesión testamentaria en proceso.</w:t>
      </w:r>
    </w:p>
    <w:p w:rsidR="00F27FBF" w:rsidRPr="00F27FBF" w:rsidRDefault="000B4A2D" w:rsidP="00BF293B">
      <w:r w:rsidRPr="000B4A2D">
        <w:rPr>
          <w:highlight w:val="yellow"/>
        </w:rPr>
        <w:t>CCCC</w:t>
      </w:r>
      <w:r>
        <w:t xml:space="preserve"> AQUÍ VOY</w:t>
      </w:r>
    </w:p>
    <w:p w:rsidR="00570069" w:rsidRDefault="00570069" w:rsidP="00BF293B">
      <w:pPr>
        <w:rPr>
          <w:b/>
        </w:rPr>
      </w:pPr>
      <w:r w:rsidRPr="00570069">
        <w:rPr>
          <w:noProof/>
          <w:lang w:eastAsia="es-MX"/>
        </w:rPr>
        <w:drawing>
          <wp:inline distT="0" distB="0" distL="0" distR="0">
            <wp:extent cx="5612130" cy="1749390"/>
            <wp:effectExtent l="0" t="0" r="0" b="381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12130" cy="1749390"/>
                    </a:xfrm>
                    <a:prstGeom prst="rect">
                      <a:avLst/>
                    </a:prstGeom>
                    <a:noFill/>
                    <a:ln>
                      <a:noFill/>
                    </a:ln>
                  </pic:spPr>
                </pic:pic>
              </a:graphicData>
            </a:graphic>
          </wp:inline>
        </w:drawing>
      </w:r>
    </w:p>
    <w:p w:rsidR="00191BE7" w:rsidRPr="00F27FBF" w:rsidRDefault="00F27FBF" w:rsidP="00BF293B">
      <w:r w:rsidRPr="00F27FBF">
        <w:t>Se muestran los registros en cuentas de orden de las provisiones por obligaciones laborales que corresponderían a la liquidación de la totalidad de los empleados del Hogar Cabañas y los juicios de demandas laborales ya en proceso y valorizados al 31 de diciembre de 2018.</w:t>
      </w:r>
    </w:p>
    <w:p w:rsidR="006B71BE" w:rsidRDefault="006B71BE" w:rsidP="00BF293B">
      <w:pPr>
        <w:rPr>
          <w:b/>
        </w:rPr>
      </w:pPr>
    </w:p>
    <w:p w:rsidR="006B71BE" w:rsidRDefault="006B71BE" w:rsidP="00BF293B">
      <w:pPr>
        <w:rPr>
          <w:b/>
        </w:rPr>
      </w:pPr>
    </w:p>
    <w:p w:rsidR="00C85CAF" w:rsidRDefault="00C85CAF" w:rsidP="00C85CAF">
      <w:pPr>
        <w:jc w:val="center"/>
        <w:rPr>
          <w:b/>
        </w:rPr>
      </w:pPr>
    </w:p>
    <w:p w:rsidR="00F27FBF" w:rsidRDefault="00F27FBF" w:rsidP="00C85CAF">
      <w:pPr>
        <w:jc w:val="center"/>
        <w:rPr>
          <w:b/>
        </w:rPr>
      </w:pPr>
    </w:p>
    <w:p w:rsidR="00F27FBF" w:rsidRDefault="00F27FBF" w:rsidP="00C85CAF">
      <w:pPr>
        <w:jc w:val="center"/>
        <w:rPr>
          <w:b/>
        </w:rPr>
      </w:pPr>
    </w:p>
    <w:p w:rsidR="00F27FBF" w:rsidRDefault="00F27FBF" w:rsidP="00C85CAF">
      <w:pPr>
        <w:jc w:val="center"/>
        <w:rPr>
          <w:b/>
        </w:rPr>
      </w:pPr>
    </w:p>
    <w:p w:rsidR="00F27FBF" w:rsidRDefault="00F27FBF" w:rsidP="00C85CAF">
      <w:pPr>
        <w:jc w:val="center"/>
        <w:rPr>
          <w:b/>
        </w:rPr>
      </w:pPr>
    </w:p>
    <w:p w:rsidR="00F27FBF" w:rsidRDefault="00F27FBF" w:rsidP="00C85CAF">
      <w:pPr>
        <w:jc w:val="center"/>
        <w:rPr>
          <w:b/>
        </w:rPr>
      </w:pPr>
    </w:p>
    <w:p w:rsidR="00F27FBF" w:rsidRDefault="00F27FBF" w:rsidP="00C85CAF">
      <w:pPr>
        <w:jc w:val="center"/>
        <w:rPr>
          <w:b/>
        </w:rPr>
      </w:pPr>
    </w:p>
    <w:p w:rsidR="00191BE7" w:rsidRDefault="00C85CAF" w:rsidP="00C85CAF">
      <w:pPr>
        <w:jc w:val="center"/>
        <w:rPr>
          <w:b/>
        </w:rPr>
      </w:pPr>
      <w:r>
        <w:rPr>
          <w:b/>
        </w:rPr>
        <w:lastRenderedPageBreak/>
        <w:t>NOTAS DE GESTION ADMINISTRATIVA</w:t>
      </w:r>
    </w:p>
    <w:tbl>
      <w:tblPr>
        <w:tblW w:w="12594" w:type="dxa"/>
        <w:tblInd w:w="284" w:type="dxa"/>
        <w:tblLayout w:type="fixed"/>
        <w:tblCellMar>
          <w:left w:w="70" w:type="dxa"/>
          <w:right w:w="70" w:type="dxa"/>
        </w:tblCellMar>
        <w:tblLook w:val="0000" w:firstRow="0" w:lastRow="0" w:firstColumn="0" w:lastColumn="0" w:noHBand="0" w:noVBand="0"/>
      </w:tblPr>
      <w:tblGrid>
        <w:gridCol w:w="1656"/>
        <w:gridCol w:w="2547"/>
        <w:gridCol w:w="97"/>
        <w:gridCol w:w="1773"/>
        <w:gridCol w:w="1510"/>
        <w:gridCol w:w="1134"/>
        <w:gridCol w:w="497"/>
        <w:gridCol w:w="1870"/>
        <w:gridCol w:w="1510"/>
      </w:tblGrid>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1.- Introducción.</w:t>
            </w: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Las presentes notas de Gestión administrativa, tienen como finalidad mostrar un panorama General de la situación Financiera, contable, presupuestal y programática del Hogar Cabañas, así como revelar de manera suficiente los aspectos importantes a considerar al momento de analizar y verificar las cifras que componen los Estados financieros y presupuestales de la Institución al cierre del ejercicio de 2018.</w:t>
            </w: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Cabe aclarar, que en la medida de lo posible se han integrado todos los reportes e información pertinentes a fin de acatar con las distintas normatividades contempladas en la Ley General de Contabilidad Gubernamental y los  distintos ordenamientos legales a que estamos sujetos.</w:t>
            </w: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p w:rsidR="00C85CAF" w:rsidRDefault="00C85CAF" w:rsidP="00107AA4">
            <w:pPr>
              <w:autoSpaceDE w:val="0"/>
              <w:autoSpaceDN w:val="0"/>
              <w:adjustRightInd w:val="0"/>
              <w:spacing w:after="0" w:line="240" w:lineRule="auto"/>
              <w:jc w:val="right"/>
              <w:rPr>
                <w:rFonts w:ascii="Calibri" w:hAnsi="Calibri" w:cs="Calibri"/>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2.- Panorama económico y Financiero.</w:t>
            </w:r>
          </w:p>
          <w:p w:rsidR="00C85CAF" w:rsidRDefault="00C85CAF" w:rsidP="00107AA4">
            <w:pPr>
              <w:autoSpaceDE w:val="0"/>
              <w:autoSpaceDN w:val="0"/>
              <w:adjustRightInd w:val="0"/>
              <w:spacing w:after="0" w:line="240" w:lineRule="auto"/>
              <w:rPr>
                <w:rFonts w:ascii="Calibri" w:hAnsi="Calibri" w:cs="Calibri"/>
                <w:b/>
                <w:bCs/>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shd w:val="clear" w:color="auto" w:fill="auto"/>
          </w:tcPr>
          <w:p w:rsidR="00067A3D"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Con la promulgación del Decreto de Presupuesto de Egresos del 2018, por parte del Congreso del Estado de Jalisco, el Hogar Cabañas se benefició con la aprobación de una aportación adicional de $20.00 (Veinte pesos 00/100 M.N.) en el pago de los refrendos vehiculares de la ciudadanía, </w:t>
            </w:r>
            <w:r w:rsidR="007E2447">
              <w:rPr>
                <w:rFonts w:ascii="Calibri" w:hAnsi="Calibri" w:cs="Calibri"/>
                <w:color w:val="000000"/>
              </w:rPr>
              <w:t>adicionales a los $ 48’</w:t>
            </w:r>
            <w:r>
              <w:rPr>
                <w:rFonts w:ascii="Calibri" w:hAnsi="Calibri" w:cs="Calibri"/>
                <w:color w:val="000000"/>
              </w:rPr>
              <w:t xml:space="preserve">473,207.00, que </w:t>
            </w:r>
            <w:r w:rsidR="007E2447">
              <w:rPr>
                <w:rFonts w:ascii="Calibri" w:hAnsi="Calibri" w:cs="Calibri"/>
                <w:color w:val="000000"/>
              </w:rPr>
              <w:t xml:space="preserve">  fueron contemplados</w:t>
            </w:r>
            <w:r>
              <w:rPr>
                <w:rFonts w:ascii="Calibri" w:hAnsi="Calibri" w:cs="Calibri"/>
                <w:color w:val="000000"/>
              </w:rPr>
              <w:t xml:space="preserve"> como Asignación Estatal, situación </w:t>
            </w:r>
            <w:r w:rsidR="007E2447">
              <w:rPr>
                <w:rFonts w:ascii="Calibri" w:hAnsi="Calibri" w:cs="Calibri"/>
                <w:color w:val="000000"/>
              </w:rPr>
              <w:t xml:space="preserve">que favoreció grandemente </w:t>
            </w:r>
            <w:r>
              <w:rPr>
                <w:rFonts w:ascii="Calibri" w:hAnsi="Calibri" w:cs="Calibri"/>
                <w:color w:val="000000"/>
              </w:rPr>
              <w:t>las finanzas del Hogar Cabaña</w:t>
            </w:r>
            <w:r w:rsidR="00D21B1F">
              <w:rPr>
                <w:rFonts w:ascii="Calibri" w:hAnsi="Calibri" w:cs="Calibri"/>
                <w:color w:val="000000"/>
              </w:rPr>
              <w:t xml:space="preserve">s, esperando obtener cerca de </w:t>
            </w:r>
          </w:p>
          <w:p w:rsidR="007E2447" w:rsidRDefault="00D21B1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$ 45’000,000.00 para la implementación de Proyectos Estratégicos en el 2018.</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Por lo anterior se </w:t>
            </w:r>
            <w:r w:rsidR="00DA237F">
              <w:rPr>
                <w:rFonts w:ascii="Calibri" w:hAnsi="Calibri" w:cs="Calibri"/>
                <w:color w:val="000000"/>
              </w:rPr>
              <w:t>le dará</w:t>
            </w:r>
            <w:r w:rsidR="00067A3D">
              <w:rPr>
                <w:rFonts w:ascii="Calibri" w:hAnsi="Calibri" w:cs="Calibri"/>
                <w:color w:val="000000"/>
              </w:rPr>
              <w:t xml:space="preserve"> </w:t>
            </w:r>
            <w:r>
              <w:rPr>
                <w:rFonts w:ascii="Calibri" w:hAnsi="Calibri" w:cs="Calibri"/>
                <w:color w:val="000000"/>
              </w:rPr>
              <w:t>continu</w:t>
            </w:r>
            <w:r w:rsidR="007E2447">
              <w:rPr>
                <w:rFonts w:ascii="Calibri" w:hAnsi="Calibri" w:cs="Calibri"/>
                <w:color w:val="000000"/>
              </w:rPr>
              <w:t xml:space="preserve">idad </w:t>
            </w:r>
            <w:r>
              <w:rPr>
                <w:rFonts w:ascii="Calibri" w:hAnsi="Calibri" w:cs="Calibri"/>
                <w:color w:val="000000"/>
              </w:rPr>
              <w:t>a</w:t>
            </w:r>
            <w:r w:rsidR="007E2447">
              <w:rPr>
                <w:rFonts w:ascii="Calibri" w:hAnsi="Calibri" w:cs="Calibri"/>
                <w:color w:val="000000"/>
              </w:rPr>
              <w:t xml:space="preserve"> los</w:t>
            </w:r>
            <w:r>
              <w:rPr>
                <w:rFonts w:ascii="Calibri" w:hAnsi="Calibri" w:cs="Calibri"/>
                <w:color w:val="000000"/>
              </w:rPr>
              <w:t xml:space="preserve"> “Proyectos Estratégicos 2017”</w:t>
            </w:r>
            <w:r w:rsidR="007E2447">
              <w:rPr>
                <w:rFonts w:ascii="Calibri" w:hAnsi="Calibri" w:cs="Calibri"/>
                <w:color w:val="000000"/>
              </w:rPr>
              <w:t xml:space="preserve"> tales como:</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1.-Taller</w:t>
            </w:r>
            <w:r w:rsidR="00DA237F">
              <w:rPr>
                <w:rFonts w:ascii="Calibri" w:hAnsi="Calibri" w:cs="Calibri"/>
                <w:color w:val="000000"/>
              </w:rPr>
              <w:t>es</w:t>
            </w:r>
            <w:r>
              <w:rPr>
                <w:rFonts w:ascii="Calibri" w:hAnsi="Calibri" w:cs="Calibri"/>
                <w:color w:val="000000"/>
              </w:rPr>
              <w:t xml:space="preserve"> de capacitación y formación integral en Cultura y Deportes.</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2.-Estimulación temprana y rehabilitación.</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3.-Recreación y tiempo libre.</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4.- Rehabilitación de espacios para vivienda Digna y segura.</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Entre los Proyectos a Implementarse en el ejercicio de 2018 se encuentran:</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Reequipamiento y rehabilitación de área médica.</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Dignificación de espacios para terapia y convivencia.</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y requipamiento de área de comedor y cocina.</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Rehabilitación de ingresos Mariano Otero y </w:t>
            </w:r>
            <w:r w:rsidR="00067A3D">
              <w:rPr>
                <w:rFonts w:ascii="Calibri" w:hAnsi="Calibri" w:cs="Calibri"/>
                <w:color w:val="000000"/>
              </w:rPr>
              <w:t>Lapislázuli</w:t>
            </w:r>
            <w:r>
              <w:rPr>
                <w:rFonts w:ascii="Calibri" w:hAnsi="Calibri" w:cs="Calibri"/>
                <w:color w:val="000000"/>
              </w:rPr>
              <w:t>.</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Adecuación de espacios en sala Blanca para implementación de equipo de rehabilitación y terapia física.</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de escaleras en edificios azul, naranja, rosa, morado, verde y amarillo.</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Empastado en cubos de escaleras.</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de entarimado de auditorio.</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Equipamiento y remodelación de gimnasio.</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de área de juegos.</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Adquisición de camión escolar para traslados de menores.</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Adquisición de vehículos híbridos para traslados.</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Adquisición de camionetas para traslado de materiales y personal.</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de cocina y comedor.</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del área de bodegas.</w:t>
            </w:r>
          </w:p>
          <w:p w:rsidR="00C85CAF" w:rsidRDefault="00DA237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Instalación de elevador para área de </w:t>
            </w:r>
            <w:r w:rsidR="00485140">
              <w:rPr>
                <w:rFonts w:ascii="Calibri" w:hAnsi="Calibri" w:cs="Calibri"/>
                <w:color w:val="000000"/>
              </w:rPr>
              <w:t>a</w:t>
            </w:r>
            <w:r>
              <w:rPr>
                <w:rFonts w:ascii="Calibri" w:hAnsi="Calibri" w:cs="Calibri"/>
                <w:color w:val="000000"/>
              </w:rPr>
              <w:t>lmac</w:t>
            </w:r>
            <w:r w:rsidR="00485140">
              <w:rPr>
                <w:rFonts w:ascii="Calibri" w:hAnsi="Calibri" w:cs="Calibri"/>
                <w:color w:val="000000"/>
              </w:rPr>
              <w:t>én</w:t>
            </w:r>
            <w:r>
              <w:rPr>
                <w:rFonts w:ascii="Calibri" w:hAnsi="Calibri" w:cs="Calibri"/>
                <w:color w:val="000000"/>
              </w:rPr>
              <w:t>.</w:t>
            </w:r>
          </w:p>
          <w:p w:rsidR="00DA237F" w:rsidRDefault="00DA237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Adecuación de espacios para almacén General.</w:t>
            </w:r>
          </w:p>
          <w:p w:rsidR="00C85CAF"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Instalación de </w:t>
            </w:r>
            <w:r w:rsidR="00EB59F3">
              <w:rPr>
                <w:rFonts w:ascii="Calibri" w:hAnsi="Calibri" w:cs="Calibri"/>
                <w:color w:val="000000"/>
              </w:rPr>
              <w:t>pararrayos</w:t>
            </w:r>
            <w:r>
              <w:rPr>
                <w:rFonts w:ascii="Calibri" w:hAnsi="Calibri" w:cs="Calibri"/>
                <w:color w:val="000000"/>
              </w:rPr>
              <w:t>.</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lastRenderedPageBreak/>
              <w:t>Instalación de detectores de humo sistema contra incendio.</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Pr="00D02735" w:rsidRDefault="00C85CAF" w:rsidP="006B71BE">
            <w:pPr>
              <w:pStyle w:val="Ttulo1"/>
              <w:jc w:val="both"/>
              <w:rPr>
                <w:rFonts w:ascii="Calibri" w:hAnsi="Calibri" w:cs="Calibri"/>
                <w:color w:val="000000"/>
                <w:sz w:val="22"/>
                <w:szCs w:val="22"/>
              </w:rPr>
            </w:pPr>
            <w:r w:rsidRPr="00D02735">
              <w:rPr>
                <w:rFonts w:ascii="Calibri" w:hAnsi="Calibri" w:cs="Calibri"/>
                <w:color w:val="000000"/>
                <w:sz w:val="22"/>
                <w:szCs w:val="22"/>
              </w:rPr>
              <w:t xml:space="preserve">Los procesos de licitaciones y adjudicaciones </w:t>
            </w:r>
            <w:r w:rsidR="00954225" w:rsidRPr="00D02735">
              <w:rPr>
                <w:rFonts w:ascii="Calibri" w:hAnsi="Calibri" w:cs="Calibri"/>
                <w:color w:val="000000"/>
                <w:sz w:val="22"/>
                <w:szCs w:val="22"/>
              </w:rPr>
              <w:t>se llevaron a cabo</w:t>
            </w:r>
            <w:r w:rsidRPr="00D02735">
              <w:rPr>
                <w:rFonts w:ascii="Calibri" w:hAnsi="Calibri" w:cs="Calibri"/>
                <w:color w:val="000000"/>
                <w:sz w:val="22"/>
                <w:szCs w:val="22"/>
              </w:rPr>
              <w:t>, de acuerdo a la norma</w:t>
            </w:r>
            <w:r w:rsidR="00D02735">
              <w:rPr>
                <w:rFonts w:ascii="Calibri" w:hAnsi="Calibri" w:cs="Calibri"/>
                <w:color w:val="000000"/>
                <w:sz w:val="22"/>
                <w:szCs w:val="22"/>
              </w:rPr>
              <w:t xml:space="preserve">tiva de la </w:t>
            </w:r>
            <w:r w:rsidR="004E020B" w:rsidRPr="00D02735">
              <w:rPr>
                <w:rFonts w:asciiTheme="minorHAnsi" w:eastAsia="Times New Roman" w:hAnsiTheme="minorHAnsi" w:cstheme="minorHAnsi"/>
                <w:bCs/>
                <w:color w:val="auto"/>
                <w:kern w:val="36"/>
                <w:sz w:val="22"/>
                <w:szCs w:val="22"/>
                <w:lang w:eastAsia="es-MX"/>
              </w:rPr>
              <w:t>Ley de Compras Gubernamentales, Enajenaciones y Contratación de Servicios del Estado de Jalisco y sus Municipios</w:t>
            </w:r>
            <w:r w:rsidR="00D02735">
              <w:rPr>
                <w:rFonts w:asciiTheme="minorHAnsi" w:eastAsia="Times New Roman" w:hAnsiTheme="minorHAnsi" w:cstheme="minorHAnsi"/>
                <w:bCs/>
                <w:color w:val="auto"/>
                <w:kern w:val="36"/>
                <w:sz w:val="22"/>
                <w:szCs w:val="22"/>
                <w:lang w:eastAsia="es-MX"/>
              </w:rPr>
              <w:t>, c</w:t>
            </w:r>
            <w:r w:rsidR="00954225" w:rsidRPr="00D02735">
              <w:rPr>
                <w:rFonts w:ascii="Calibri" w:hAnsi="Calibri" w:cs="Calibri"/>
                <w:color w:val="000000"/>
                <w:sz w:val="22"/>
                <w:szCs w:val="22"/>
              </w:rPr>
              <w:t>ontando con el aval del</w:t>
            </w:r>
            <w:r w:rsidR="00D02735">
              <w:rPr>
                <w:rFonts w:ascii="Calibri" w:hAnsi="Calibri" w:cs="Calibri"/>
                <w:color w:val="000000"/>
                <w:sz w:val="22"/>
                <w:szCs w:val="22"/>
              </w:rPr>
              <w:t xml:space="preserve"> C</w:t>
            </w:r>
            <w:r w:rsidR="00485140">
              <w:rPr>
                <w:rFonts w:ascii="Calibri" w:hAnsi="Calibri" w:cs="Calibri"/>
                <w:color w:val="000000"/>
                <w:sz w:val="22"/>
                <w:szCs w:val="22"/>
              </w:rPr>
              <w:t>omité de Adquisiciones, E</w:t>
            </w:r>
            <w:r w:rsidR="00954225" w:rsidRPr="00D02735">
              <w:rPr>
                <w:rFonts w:ascii="Calibri" w:hAnsi="Calibri" w:cs="Calibri"/>
                <w:color w:val="000000"/>
                <w:sz w:val="22"/>
                <w:szCs w:val="22"/>
              </w:rPr>
              <w:t xml:space="preserve">najenaciones y </w:t>
            </w:r>
            <w:r w:rsidR="00485140">
              <w:rPr>
                <w:rFonts w:ascii="Calibri" w:hAnsi="Calibri" w:cs="Calibri"/>
                <w:color w:val="000000"/>
                <w:sz w:val="22"/>
                <w:szCs w:val="22"/>
              </w:rPr>
              <w:t>A</w:t>
            </w:r>
            <w:r w:rsidR="00954225" w:rsidRPr="00D02735">
              <w:rPr>
                <w:rFonts w:ascii="Calibri" w:hAnsi="Calibri" w:cs="Calibri"/>
                <w:color w:val="000000"/>
                <w:sz w:val="22"/>
                <w:szCs w:val="22"/>
              </w:rPr>
              <w:t xml:space="preserve">rrendamientos del Hogar Cabañas, quien estuvo formado por personas del sociedad civil, de </w:t>
            </w:r>
            <w:r w:rsidR="00D02735">
              <w:rPr>
                <w:rFonts w:ascii="Calibri" w:hAnsi="Calibri" w:cs="Calibri"/>
                <w:color w:val="000000"/>
                <w:sz w:val="22"/>
                <w:szCs w:val="22"/>
              </w:rPr>
              <w:t>la administración central y del propio Hogar Cabañas, que legitiman y transparentan los procesos que se llevaron a cabo.</w:t>
            </w:r>
          </w:p>
          <w:p w:rsidR="00C85CAF" w:rsidRPr="00D02735" w:rsidRDefault="00C85CAF" w:rsidP="006B71BE">
            <w:pPr>
              <w:autoSpaceDE w:val="0"/>
              <w:autoSpaceDN w:val="0"/>
              <w:adjustRightInd w:val="0"/>
              <w:spacing w:after="0" w:line="240" w:lineRule="auto"/>
              <w:jc w:val="both"/>
              <w:rPr>
                <w:rFonts w:ascii="Calibri" w:hAnsi="Calibri" w:cs="Calibri"/>
                <w:color w:val="000000"/>
              </w:rPr>
            </w:pPr>
          </w:p>
          <w:p w:rsidR="00EB59F3" w:rsidRDefault="00C85CAF" w:rsidP="006B71BE">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Con la puesta en marcha de estos proyectos, nos obligan a refrendar nuestro compromiso con la Transparencia y la Rendición de cuentas, refrendando con ello la confianza depositada por la Sociedad Jalisciense en esta Inst</w:t>
            </w:r>
            <w:r w:rsidR="00485140">
              <w:rPr>
                <w:rFonts w:ascii="Calibri" w:hAnsi="Calibri" w:cs="Calibri"/>
                <w:color w:val="000000"/>
              </w:rPr>
              <w:t xml:space="preserve">itución. </w:t>
            </w:r>
          </w:p>
          <w:p w:rsidR="00EB59F3" w:rsidRDefault="00EB59F3" w:rsidP="006B71BE">
            <w:pPr>
              <w:autoSpaceDE w:val="0"/>
              <w:autoSpaceDN w:val="0"/>
              <w:adjustRightInd w:val="0"/>
              <w:spacing w:after="0" w:line="240" w:lineRule="auto"/>
              <w:jc w:val="both"/>
              <w:rPr>
                <w:rFonts w:ascii="Calibri" w:hAnsi="Calibri" w:cs="Calibri"/>
                <w:color w:val="000000"/>
              </w:rPr>
            </w:pPr>
          </w:p>
          <w:p w:rsidR="00C85CAF" w:rsidRDefault="00EB59F3" w:rsidP="006B71BE">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A principios del mes de diciembre 2018 </w:t>
            </w:r>
            <w:r w:rsidR="00485140">
              <w:rPr>
                <w:rFonts w:ascii="Calibri" w:hAnsi="Calibri" w:cs="Calibri"/>
                <w:color w:val="000000"/>
              </w:rPr>
              <w:t xml:space="preserve">se </w:t>
            </w:r>
            <w:r w:rsidR="000441E1">
              <w:rPr>
                <w:rFonts w:ascii="Calibri" w:hAnsi="Calibri" w:cs="Calibri"/>
                <w:color w:val="000000"/>
              </w:rPr>
              <w:t>llevó</w:t>
            </w:r>
            <w:r>
              <w:rPr>
                <w:rFonts w:ascii="Calibri" w:hAnsi="Calibri" w:cs="Calibri"/>
                <w:color w:val="000000"/>
              </w:rPr>
              <w:t xml:space="preserve"> a cabo</w:t>
            </w:r>
            <w:r w:rsidR="00C85CAF">
              <w:rPr>
                <w:rFonts w:ascii="Calibri" w:hAnsi="Calibri" w:cs="Calibri"/>
                <w:color w:val="000000"/>
              </w:rPr>
              <w:t xml:space="preserve"> un proceso de entrega-recepción </w:t>
            </w:r>
            <w:r>
              <w:rPr>
                <w:rFonts w:ascii="Calibri" w:hAnsi="Calibri" w:cs="Calibri"/>
                <w:color w:val="000000"/>
              </w:rPr>
              <w:t>de la administración del</w:t>
            </w:r>
            <w:r w:rsidR="00C85CAF">
              <w:rPr>
                <w:rFonts w:ascii="Calibri" w:hAnsi="Calibri" w:cs="Calibri"/>
                <w:color w:val="000000"/>
              </w:rPr>
              <w:t xml:space="preserve"> Hogar Cabañas</w:t>
            </w:r>
            <w:r w:rsidR="000441E1">
              <w:rPr>
                <w:rFonts w:ascii="Calibri" w:hAnsi="Calibri" w:cs="Calibri"/>
                <w:color w:val="000000"/>
              </w:rPr>
              <w:t xml:space="preserve"> atendiendo a la normativa de la ley de En</w:t>
            </w:r>
            <w:r>
              <w:rPr>
                <w:rFonts w:ascii="Calibri" w:hAnsi="Calibri" w:cs="Calibri"/>
                <w:color w:val="000000"/>
              </w:rPr>
              <w:t>trega-recepci</w:t>
            </w:r>
            <w:r w:rsidR="006B71BE">
              <w:rPr>
                <w:rFonts w:ascii="Calibri" w:hAnsi="Calibri" w:cs="Calibri"/>
                <w:color w:val="000000"/>
              </w:rPr>
              <w:t>ó</w:t>
            </w:r>
            <w:r>
              <w:rPr>
                <w:rFonts w:ascii="Calibri" w:hAnsi="Calibri" w:cs="Calibri"/>
                <w:color w:val="000000"/>
              </w:rPr>
              <w:t>n</w:t>
            </w:r>
            <w:r w:rsidR="006B71BE">
              <w:rPr>
                <w:rFonts w:ascii="Calibri" w:hAnsi="Calibri" w:cs="Calibri"/>
                <w:color w:val="000000"/>
              </w:rPr>
              <w:t xml:space="preserve"> del Estado de Jalisco y sus Municipios.</w:t>
            </w:r>
          </w:p>
          <w:p w:rsidR="00C85CAF" w:rsidRDefault="00C85CAF" w:rsidP="006B71BE">
            <w:pPr>
              <w:autoSpaceDE w:val="0"/>
              <w:autoSpaceDN w:val="0"/>
              <w:adjustRightInd w:val="0"/>
              <w:spacing w:after="0" w:line="240" w:lineRule="auto"/>
              <w:jc w:val="both"/>
              <w:rPr>
                <w:rFonts w:ascii="Calibri" w:hAnsi="Calibri" w:cs="Calibri"/>
                <w:color w:val="000000"/>
              </w:rPr>
            </w:pPr>
          </w:p>
        </w:tc>
      </w:tr>
      <w:tr w:rsidR="00C85CAF" w:rsidTr="00AB3902">
        <w:trPr>
          <w:gridAfter w:val="7"/>
          <w:wAfter w:w="8391"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3.-Autorización e historia.</w:t>
            </w: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El Hogar Cabañas, llamado en un principio "Casa de la Misericordia", tiene su origen en la visión del Obispo de la Diócesis de Guadalajara de fundar casas para niños y personas en desamparo. El Ilmo. Don Juan Cruz Ruiz de Cabañas y Crespo, recibió la cédula real del Rey Carlos IV de España autorizando la fundación de una casa para niños desamparados. La primera cédula se recibió en el año 1796 y la segunda en 1797.</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Acatando las órdenes reales, el Obispo Cabañas compró las huertas de "E</w:t>
            </w:r>
            <w:r w:rsidR="00FB4570">
              <w:rPr>
                <w:rFonts w:ascii="Calibri" w:hAnsi="Calibri" w:cs="Calibri"/>
                <w:color w:val="000000"/>
              </w:rPr>
              <w:t>l sabino</w:t>
            </w:r>
            <w:r>
              <w:rPr>
                <w:rFonts w:ascii="Calibri" w:hAnsi="Calibri" w:cs="Calibri"/>
                <w:color w:val="000000"/>
              </w:rPr>
              <w:t xml:space="preserve">" al oriente de la ciudad y encargó los planos de la casa al notable arquitecto Don Manuel </w:t>
            </w:r>
            <w:proofErr w:type="spellStart"/>
            <w:r>
              <w:rPr>
                <w:rFonts w:ascii="Calibri" w:hAnsi="Calibri" w:cs="Calibri"/>
                <w:color w:val="000000"/>
              </w:rPr>
              <w:t>Tolsá</w:t>
            </w:r>
            <w:proofErr w:type="spellEnd"/>
            <w:r>
              <w:rPr>
                <w:rFonts w:ascii="Calibri" w:hAnsi="Calibri" w:cs="Calibri"/>
                <w:color w:val="000000"/>
              </w:rPr>
              <w:t>.</w:t>
            </w:r>
            <w:r w:rsidR="00EB59F3">
              <w:rPr>
                <w:rFonts w:ascii="Calibri" w:hAnsi="Calibri" w:cs="Calibri"/>
                <w:color w:val="000000"/>
              </w:rPr>
              <w:t xml:space="preserve"> </w:t>
            </w:r>
            <w:r>
              <w:rPr>
                <w:rFonts w:ascii="Calibri" w:hAnsi="Calibri" w:cs="Calibri"/>
                <w:color w:val="000000"/>
              </w:rPr>
              <w:t xml:space="preserve">La construcción de dicha casa se inició en 1801 y en Febrero de 1810 ingresaron los primeros </w:t>
            </w:r>
            <w:r w:rsidR="00EB59F3">
              <w:rPr>
                <w:rFonts w:ascii="Calibri" w:hAnsi="Calibri" w:cs="Calibri"/>
                <w:color w:val="000000"/>
              </w:rPr>
              <w:t>amparados</w:t>
            </w:r>
            <w:r>
              <w:rPr>
                <w:rFonts w:ascii="Calibri" w:hAnsi="Calibri" w:cs="Calibri"/>
                <w:color w:val="000000"/>
              </w:rPr>
              <w:t>.</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Al iniciarse el movimiento de independenc</w:t>
            </w:r>
            <w:r w:rsidR="00CB21D1">
              <w:rPr>
                <w:rFonts w:ascii="Calibri" w:hAnsi="Calibri" w:cs="Calibri"/>
                <w:color w:val="000000"/>
              </w:rPr>
              <w:t>ia, vivían ya en la casa 67 niña</w:t>
            </w:r>
            <w:r>
              <w:rPr>
                <w:rFonts w:ascii="Calibri" w:hAnsi="Calibri" w:cs="Calibri"/>
                <w:color w:val="000000"/>
              </w:rPr>
              <w:t>s y niñ</w:t>
            </w:r>
            <w:r w:rsidR="00CB21D1">
              <w:rPr>
                <w:rFonts w:ascii="Calibri" w:hAnsi="Calibri" w:cs="Calibri"/>
                <w:color w:val="000000"/>
              </w:rPr>
              <w:t>o</w:t>
            </w:r>
            <w:r>
              <w:rPr>
                <w:rFonts w:ascii="Calibri" w:hAnsi="Calibri" w:cs="Calibri"/>
                <w:color w:val="000000"/>
              </w:rPr>
              <w:t>s, los cuales tuvieron que salir al ser ocupado el inmueble por las tropas tanto realistas como liberales.</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En 1859 fueron confiscados los bienes eclesiásticos y desde entonces el Estado se convirtió en administrador de la Casa de la Misericordia.</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Desde esa fecha y hasta 1980, el edificio conocido como Hospicio Cabañas, fue siempre hogar sustituto par</w:t>
            </w:r>
            <w:r w:rsidR="00CB21D1">
              <w:rPr>
                <w:rFonts w:ascii="Calibri" w:hAnsi="Calibri" w:cs="Calibri"/>
                <w:color w:val="000000"/>
              </w:rPr>
              <w:t>a niña</w:t>
            </w:r>
            <w:r>
              <w:rPr>
                <w:rFonts w:ascii="Calibri" w:hAnsi="Calibri" w:cs="Calibri"/>
                <w:color w:val="000000"/>
              </w:rPr>
              <w:t>s y niñ</w:t>
            </w:r>
            <w:r w:rsidR="00CB21D1">
              <w:rPr>
                <w:rFonts w:ascii="Calibri" w:hAnsi="Calibri" w:cs="Calibri"/>
                <w:color w:val="000000"/>
              </w:rPr>
              <w:t>o</w:t>
            </w:r>
            <w:r>
              <w:rPr>
                <w:rFonts w:ascii="Calibri" w:hAnsi="Calibri" w:cs="Calibri"/>
                <w:color w:val="000000"/>
              </w:rPr>
              <w:t>s que carecían de él.</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En la actualidad, el edificio conocido como "Hospicio Cabañas" dejó de ser el albergue de los menores para convertirse en la sede del "Instituto Cultural Cabañas".</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B21D1"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Las niña</w:t>
            </w:r>
            <w:r w:rsidR="00C85CAF">
              <w:rPr>
                <w:rFonts w:ascii="Calibri" w:hAnsi="Calibri" w:cs="Calibri"/>
                <w:color w:val="000000"/>
              </w:rPr>
              <w:t>s y l</w:t>
            </w:r>
            <w:r>
              <w:rPr>
                <w:rFonts w:ascii="Calibri" w:hAnsi="Calibri" w:cs="Calibri"/>
                <w:color w:val="000000"/>
              </w:rPr>
              <w:t>o</w:t>
            </w:r>
            <w:r w:rsidR="00C85CAF">
              <w:rPr>
                <w:rFonts w:ascii="Calibri" w:hAnsi="Calibri" w:cs="Calibri"/>
                <w:color w:val="000000"/>
              </w:rPr>
              <w:t>s niñ</w:t>
            </w:r>
            <w:r>
              <w:rPr>
                <w:rFonts w:ascii="Calibri" w:hAnsi="Calibri" w:cs="Calibri"/>
                <w:color w:val="000000"/>
              </w:rPr>
              <w:t>o</w:t>
            </w:r>
            <w:r w:rsidR="00C85CAF">
              <w:rPr>
                <w:rFonts w:ascii="Calibri" w:hAnsi="Calibri" w:cs="Calibri"/>
                <w:color w:val="000000"/>
              </w:rPr>
              <w:t>s del hoy "Hogar Cabañas" se encuentran en</w:t>
            </w:r>
            <w:r w:rsidR="00FB4570">
              <w:rPr>
                <w:rFonts w:ascii="Calibri" w:hAnsi="Calibri" w:cs="Calibri"/>
                <w:color w:val="000000"/>
              </w:rPr>
              <w:t xml:space="preserve"> Ave.</w:t>
            </w:r>
            <w:r w:rsidR="00C85CAF">
              <w:rPr>
                <w:rFonts w:ascii="Calibri" w:hAnsi="Calibri" w:cs="Calibri"/>
                <w:color w:val="000000"/>
              </w:rPr>
              <w:t xml:space="preserve"> Mariano Otero # 2145 en la colonia Residencial Victoria, </w:t>
            </w:r>
            <w:r w:rsidR="00FB4570">
              <w:rPr>
                <w:rFonts w:ascii="Calibri" w:hAnsi="Calibri" w:cs="Calibri"/>
                <w:color w:val="000000"/>
              </w:rPr>
              <w:t xml:space="preserve">en el Municipio de </w:t>
            </w:r>
            <w:r w:rsidR="00C85CAF">
              <w:rPr>
                <w:rFonts w:ascii="Calibri" w:hAnsi="Calibri" w:cs="Calibri"/>
                <w:color w:val="000000"/>
              </w:rPr>
              <w:t>Zapopan Jalisco.</w:t>
            </w:r>
            <w:r>
              <w:rPr>
                <w:rFonts w:ascii="Calibri" w:hAnsi="Calibri" w:cs="Calibri"/>
                <w:color w:val="000000"/>
              </w:rPr>
              <w:t xml:space="preserve"> Los varones mayores de 12 años se encuentran habitando en la calle Damián Carmona No.275 en la colonia la penal en el municipio de Guadalajara Jalisco.</w:t>
            </w:r>
          </w:p>
          <w:p w:rsidR="00CB1BBD" w:rsidRDefault="00CB1BBD"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lastRenderedPageBreak/>
              <w:t>El Hogar Cabañas</w:t>
            </w:r>
            <w:r>
              <w:rPr>
                <w:rFonts w:ascii="Calibri" w:hAnsi="Calibri" w:cs="Calibri"/>
                <w:b/>
                <w:bCs/>
                <w:color w:val="000000"/>
              </w:rPr>
              <w:t>,</w:t>
            </w:r>
            <w:r>
              <w:rPr>
                <w:rFonts w:ascii="Calibri" w:hAnsi="Calibri" w:cs="Calibri"/>
                <w:color w:val="000000"/>
              </w:rPr>
              <w:t xml:space="preserve"> es un Organismo Público Descentralizado del Gobierno del Estado de Jalisco, cuenta con personalidad jurídica y patrimonio propio. Fue constituido mediante Decreto de creación no. 10,362, aprobado por el H. Congreso del Estado de Jalisco con fecha 5 de febrero </w:t>
            </w:r>
            <w:r w:rsidR="00CB1BBD">
              <w:rPr>
                <w:rFonts w:ascii="Calibri" w:hAnsi="Calibri" w:cs="Calibri"/>
                <w:color w:val="000000"/>
              </w:rPr>
              <w:t xml:space="preserve">de 1981. El 15 de enero de 1998, </w:t>
            </w:r>
            <w:r>
              <w:rPr>
                <w:rFonts w:ascii="Calibri" w:hAnsi="Calibri" w:cs="Calibri"/>
                <w:color w:val="000000"/>
              </w:rPr>
              <w:t xml:space="preserve">se expide el Decreto </w:t>
            </w:r>
            <w:r w:rsidR="00CB1BBD">
              <w:rPr>
                <w:rFonts w:ascii="Calibri" w:hAnsi="Calibri" w:cs="Calibri"/>
                <w:color w:val="000000"/>
              </w:rPr>
              <w:t xml:space="preserve">no. </w:t>
            </w:r>
            <w:r>
              <w:rPr>
                <w:rFonts w:ascii="Calibri" w:hAnsi="Calibri" w:cs="Calibri"/>
                <w:color w:val="000000"/>
              </w:rPr>
              <w:t>17002 que contiene el Código de Asistencia Social del Estado de Jalisco, qu</w:t>
            </w:r>
            <w:r w:rsidR="00FB4570">
              <w:rPr>
                <w:rFonts w:ascii="Calibri" w:hAnsi="Calibri" w:cs="Calibri"/>
                <w:color w:val="000000"/>
              </w:rPr>
              <w:t>e regulará a las Instituciones a</w:t>
            </w:r>
            <w:r>
              <w:rPr>
                <w:rFonts w:ascii="Calibri" w:hAnsi="Calibri" w:cs="Calibri"/>
                <w:color w:val="000000"/>
              </w:rPr>
              <w:t>sistenciales del Estado de Jalisco, entre ellas nuestro organismo. El 24 de octubre de 2009 se realiza una reforma al Código de Asistencia Social para determinar el cambio de razón Social a "Hogar Juan Cruz Ruiz de Cabañas y Crespo indistintamente conocido como "Hogar Cabañas".</w:t>
            </w: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b/>
                <w:bCs/>
                <w:color w:val="000000"/>
              </w:rPr>
            </w:pPr>
          </w:p>
          <w:p w:rsidR="00C85CAF" w:rsidRDefault="00C85CAF" w:rsidP="00107AA4">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4.- Organización y objeto Social</w:t>
            </w:r>
          </w:p>
          <w:p w:rsidR="00C85CAF" w:rsidRDefault="00C85CAF" w:rsidP="00107AA4">
            <w:pPr>
              <w:autoSpaceDE w:val="0"/>
              <w:autoSpaceDN w:val="0"/>
              <w:adjustRightInd w:val="0"/>
              <w:spacing w:after="0" w:line="240" w:lineRule="auto"/>
              <w:rPr>
                <w:rFonts w:ascii="Calibri" w:hAnsi="Calibri" w:cs="Calibri"/>
                <w:b/>
                <w:bCs/>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r>
      <w:tr w:rsidR="00C85CAF" w:rsidTr="00AB3902">
        <w:trPr>
          <w:gridAfter w:val="3"/>
          <w:wAfter w:w="3877" w:type="dxa"/>
          <w:trHeight w:val="362"/>
        </w:trPr>
        <w:tc>
          <w:tcPr>
            <w:tcW w:w="8717" w:type="dxa"/>
            <w:gridSpan w:val="6"/>
            <w:tcBorders>
              <w:top w:val="nil"/>
              <w:left w:val="nil"/>
              <w:bottom w:val="nil"/>
              <w:right w:val="nil"/>
            </w:tcBorders>
          </w:tcPr>
          <w:p w:rsidR="00C85CAF" w:rsidRPr="00BF3E79" w:rsidRDefault="00C85CAF" w:rsidP="00C85CAF">
            <w:pPr>
              <w:pStyle w:val="Prrafodelista"/>
              <w:numPr>
                <w:ilvl w:val="0"/>
                <w:numId w:val="4"/>
              </w:numPr>
              <w:autoSpaceDE w:val="0"/>
              <w:autoSpaceDN w:val="0"/>
              <w:adjustRightInd w:val="0"/>
              <w:spacing w:after="0" w:line="240" w:lineRule="auto"/>
              <w:rPr>
                <w:rFonts w:ascii="Calibri" w:hAnsi="Calibri" w:cs="Calibri"/>
                <w:b/>
                <w:color w:val="000000"/>
              </w:rPr>
            </w:pPr>
            <w:r>
              <w:rPr>
                <w:rFonts w:ascii="Calibri" w:hAnsi="Calibri" w:cs="Calibri"/>
                <w:b/>
                <w:color w:val="000000"/>
              </w:rPr>
              <w:t>Objeto Social</w:t>
            </w:r>
            <w:r w:rsidRPr="00BF3E79">
              <w:rPr>
                <w:rFonts w:ascii="Calibri" w:hAnsi="Calibri" w:cs="Calibri"/>
                <w:b/>
                <w:color w:val="000000"/>
              </w:rPr>
              <w:t>:</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 La asistencia material y educativa a los menores albergados en el Hogar Cabañas en los términos del artículo 439 del Código Civil del Estado, como la protección y tutela de los mismos.</w:t>
            </w: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II.- Inculcar en la niñez que se encuentra albergada en el Hogar Cabañas, los principios de solidaridad social.</w:t>
            </w: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III.- Fungir como delegado Institucional del Consejo Estatal de la Familia para los efectos del artículo 52 de este Código respecto de los menores albergados en el Hogar Cabañas que no tengan con quien ejerza la patria potestad.</w:t>
            </w: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IV.- Fomentar a los menores, los valores del espíritu que les permita desarrollarse plenamente en las condiciones actuales de la vida social.</w:t>
            </w: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Pr="00565068" w:rsidRDefault="00C85CAF" w:rsidP="00107AA4">
            <w:pPr>
              <w:autoSpaceDE w:val="0"/>
              <w:autoSpaceDN w:val="0"/>
              <w:adjustRightInd w:val="0"/>
              <w:spacing w:after="0" w:line="240" w:lineRule="auto"/>
              <w:jc w:val="both"/>
              <w:rPr>
                <w:rFonts w:cstheme="minorHAnsi"/>
                <w:color w:val="000000"/>
              </w:rPr>
            </w:pPr>
            <w:r w:rsidRPr="00565068">
              <w:rPr>
                <w:rFonts w:cstheme="minorHAnsi"/>
                <w:color w:val="000000"/>
              </w:rPr>
              <w:t>V.- La promoción de toda la clase de actividades para obtener recursos destinados al aumento de fondos del Hogar Cabañas.</w:t>
            </w:r>
          </w:p>
          <w:p w:rsidR="00565068" w:rsidRPr="00565068" w:rsidRDefault="00565068" w:rsidP="00107AA4">
            <w:pPr>
              <w:autoSpaceDE w:val="0"/>
              <w:autoSpaceDN w:val="0"/>
              <w:adjustRightInd w:val="0"/>
              <w:spacing w:after="0" w:line="240" w:lineRule="auto"/>
              <w:jc w:val="both"/>
              <w:rPr>
                <w:rFonts w:cstheme="minorHAnsi"/>
                <w:color w:val="000000"/>
              </w:rPr>
            </w:pPr>
          </w:p>
          <w:p w:rsidR="00565068" w:rsidRPr="00565068" w:rsidRDefault="00565068" w:rsidP="00107AA4">
            <w:pPr>
              <w:autoSpaceDE w:val="0"/>
              <w:autoSpaceDN w:val="0"/>
              <w:adjustRightInd w:val="0"/>
              <w:spacing w:after="0" w:line="240" w:lineRule="auto"/>
              <w:jc w:val="both"/>
              <w:rPr>
                <w:rFonts w:ascii="Arial" w:hAnsi="Arial" w:cs="Arial"/>
                <w:color w:val="000000"/>
                <w:sz w:val="24"/>
                <w:szCs w:val="24"/>
              </w:rPr>
            </w:pPr>
            <w:r w:rsidRPr="00565068">
              <w:rPr>
                <w:rFonts w:cstheme="minorHAnsi"/>
              </w:rPr>
              <w:t>VI. Conservar y acrecentar el patrimonio del Hogar Cabañas; y VII. Aceptar o repudiar las herencias, legados y donaciones, rechazándolos cuando impliquen mayores c</w:t>
            </w:r>
            <w:r>
              <w:rPr>
                <w:rFonts w:cstheme="minorHAnsi"/>
              </w:rPr>
              <w:t>argas que beneficios.</w:t>
            </w: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107AA4">
            <w:pPr>
              <w:pStyle w:val="Prrafodelista"/>
              <w:autoSpaceDE w:val="0"/>
              <w:autoSpaceDN w:val="0"/>
              <w:adjustRightInd w:val="0"/>
              <w:spacing w:after="0" w:line="240" w:lineRule="auto"/>
              <w:rPr>
                <w:rFonts w:ascii="Calibri" w:hAnsi="Calibri" w:cs="Calibri"/>
                <w:b/>
                <w:color w:val="000000"/>
              </w:rPr>
            </w:pPr>
          </w:p>
          <w:p w:rsidR="00C85CAF" w:rsidRPr="00BF3E79" w:rsidRDefault="00C85CAF" w:rsidP="00C85CAF">
            <w:pPr>
              <w:pStyle w:val="Prrafodelista"/>
              <w:numPr>
                <w:ilvl w:val="0"/>
                <w:numId w:val="4"/>
              </w:numPr>
              <w:autoSpaceDE w:val="0"/>
              <w:autoSpaceDN w:val="0"/>
              <w:adjustRightInd w:val="0"/>
              <w:spacing w:after="0" w:line="240" w:lineRule="auto"/>
              <w:rPr>
                <w:rFonts w:ascii="Calibri" w:hAnsi="Calibri" w:cs="Calibri"/>
                <w:b/>
                <w:color w:val="000000"/>
              </w:rPr>
            </w:pPr>
            <w:r>
              <w:rPr>
                <w:rFonts w:ascii="Calibri" w:hAnsi="Calibri" w:cs="Calibri"/>
                <w:b/>
                <w:color w:val="000000"/>
              </w:rPr>
              <w:t>Principal Actividad</w:t>
            </w:r>
            <w:r w:rsidRPr="00BF3E79">
              <w:rPr>
                <w:rFonts w:ascii="Calibri" w:hAnsi="Calibri" w:cs="Calibri"/>
                <w:b/>
                <w:color w:val="000000"/>
              </w:rPr>
              <w:t>:</w:t>
            </w:r>
          </w:p>
          <w:p w:rsidR="00C85CAF" w:rsidRDefault="00C85CAF" w:rsidP="00107AA4">
            <w:pPr>
              <w:autoSpaceDE w:val="0"/>
              <w:autoSpaceDN w:val="0"/>
              <w:adjustRightInd w:val="0"/>
              <w:spacing w:after="0" w:line="240" w:lineRule="auto"/>
              <w:rPr>
                <w:rFonts w:ascii="Calibri" w:hAnsi="Calibri" w:cs="Calibri"/>
                <w:color w:val="000000"/>
              </w:rPr>
            </w:pPr>
            <w:r>
              <w:rPr>
                <w:rFonts w:ascii="Calibri" w:hAnsi="Calibri" w:cs="Calibri"/>
                <w:color w:val="000000"/>
              </w:rPr>
              <w:t>La actividad principal del Hogar Cabañas, es la atención integral a los niñas, niños y adolescentes que se encuentran en situación de vulnerabilidad, derivados por las autoridades competentes, con el objetivo de formarlos e integrarlos a la sociedad.</w:t>
            </w:r>
          </w:p>
          <w:p w:rsidR="00C85CAF" w:rsidRPr="00BF3E79" w:rsidRDefault="00C85CAF" w:rsidP="00107AA4">
            <w:pPr>
              <w:autoSpaceDE w:val="0"/>
              <w:autoSpaceDN w:val="0"/>
              <w:adjustRightInd w:val="0"/>
              <w:spacing w:after="0" w:line="240" w:lineRule="auto"/>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Pr="001D610A" w:rsidRDefault="00C85CAF" w:rsidP="00C85CAF">
            <w:pPr>
              <w:pStyle w:val="Prrafodelista"/>
              <w:numPr>
                <w:ilvl w:val="0"/>
                <w:numId w:val="4"/>
              </w:numPr>
              <w:autoSpaceDE w:val="0"/>
              <w:autoSpaceDN w:val="0"/>
              <w:adjustRightInd w:val="0"/>
              <w:spacing w:after="0" w:line="240" w:lineRule="auto"/>
              <w:jc w:val="both"/>
              <w:rPr>
                <w:rFonts w:ascii="Calibri" w:hAnsi="Calibri" w:cs="Calibri"/>
                <w:b/>
                <w:color w:val="000000"/>
              </w:rPr>
            </w:pPr>
            <w:r w:rsidRPr="001D610A">
              <w:rPr>
                <w:rFonts w:ascii="Calibri" w:hAnsi="Calibri" w:cs="Calibri"/>
                <w:b/>
                <w:color w:val="000000"/>
              </w:rPr>
              <w:t>Ejercicio Fiscal:</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El ejercicio fiscal corresponde al ejercici</w:t>
            </w:r>
            <w:r w:rsidR="00FB4570">
              <w:rPr>
                <w:rFonts w:ascii="Calibri" w:hAnsi="Calibri" w:cs="Calibri"/>
                <w:color w:val="000000"/>
              </w:rPr>
              <w:t xml:space="preserve">o </w:t>
            </w:r>
            <w:r w:rsidR="000441E1">
              <w:rPr>
                <w:rFonts w:ascii="Calibri" w:hAnsi="Calibri" w:cs="Calibri"/>
                <w:color w:val="000000"/>
              </w:rPr>
              <w:t>comprendido del primero de Enero al 31 de Diciembre de 2018.</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Pr="001D610A" w:rsidRDefault="00C85CAF" w:rsidP="00C85CAF">
            <w:pPr>
              <w:pStyle w:val="Prrafodelista"/>
              <w:numPr>
                <w:ilvl w:val="0"/>
                <w:numId w:val="4"/>
              </w:numPr>
              <w:autoSpaceDE w:val="0"/>
              <w:autoSpaceDN w:val="0"/>
              <w:adjustRightInd w:val="0"/>
              <w:spacing w:after="0" w:line="240" w:lineRule="auto"/>
              <w:jc w:val="both"/>
              <w:rPr>
                <w:rFonts w:ascii="Calibri" w:hAnsi="Calibri" w:cs="Calibri"/>
                <w:color w:val="000000"/>
              </w:rPr>
            </w:pPr>
            <w:r w:rsidRPr="001D610A">
              <w:rPr>
                <w:rFonts w:ascii="Calibri" w:hAnsi="Calibri" w:cs="Calibri"/>
                <w:b/>
                <w:color w:val="000000"/>
              </w:rPr>
              <w:t>Régimen Jurídico</w:t>
            </w:r>
            <w:r w:rsidRPr="001D610A">
              <w:rPr>
                <w:rFonts w:ascii="Calibri" w:hAnsi="Calibri" w:cs="Calibri"/>
                <w:color w:val="000000"/>
              </w:rPr>
              <w:t>:</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El Hogar Cabañas es un Organismo Público Descentralizado del Gobierno del Estado de Jalisco.</w:t>
            </w:r>
          </w:p>
          <w:p w:rsidR="00C85CAF" w:rsidRDefault="00C85CAF" w:rsidP="00107AA4">
            <w:pPr>
              <w:autoSpaceDE w:val="0"/>
              <w:autoSpaceDN w:val="0"/>
              <w:adjustRightInd w:val="0"/>
              <w:spacing w:after="0" w:line="240" w:lineRule="auto"/>
              <w:jc w:val="both"/>
              <w:rPr>
                <w:rFonts w:ascii="Calibri" w:hAnsi="Calibri" w:cs="Calibri"/>
                <w:color w:val="000000"/>
              </w:rPr>
            </w:pPr>
          </w:p>
          <w:p w:rsidR="000441E1" w:rsidRDefault="000441E1" w:rsidP="000441E1">
            <w:pPr>
              <w:autoSpaceDE w:val="0"/>
              <w:autoSpaceDN w:val="0"/>
              <w:adjustRightInd w:val="0"/>
              <w:spacing w:after="0" w:line="240" w:lineRule="auto"/>
              <w:ind w:left="360"/>
              <w:jc w:val="both"/>
              <w:rPr>
                <w:rFonts w:ascii="Calibri" w:hAnsi="Calibri" w:cs="Calibri"/>
                <w:b/>
                <w:color w:val="000000"/>
              </w:rPr>
            </w:pPr>
          </w:p>
          <w:p w:rsidR="000441E1" w:rsidRDefault="000441E1" w:rsidP="000441E1">
            <w:pPr>
              <w:autoSpaceDE w:val="0"/>
              <w:autoSpaceDN w:val="0"/>
              <w:adjustRightInd w:val="0"/>
              <w:spacing w:after="0" w:line="240" w:lineRule="auto"/>
              <w:ind w:left="360"/>
              <w:jc w:val="both"/>
              <w:rPr>
                <w:rFonts w:ascii="Calibri" w:hAnsi="Calibri" w:cs="Calibri"/>
                <w:b/>
                <w:color w:val="000000"/>
              </w:rPr>
            </w:pPr>
          </w:p>
          <w:p w:rsidR="00C85CAF" w:rsidRPr="000441E1" w:rsidRDefault="00C85CAF" w:rsidP="000441E1">
            <w:pPr>
              <w:pStyle w:val="Prrafodelista"/>
              <w:numPr>
                <w:ilvl w:val="0"/>
                <w:numId w:val="4"/>
              </w:numPr>
              <w:autoSpaceDE w:val="0"/>
              <w:autoSpaceDN w:val="0"/>
              <w:adjustRightInd w:val="0"/>
              <w:spacing w:after="0" w:line="240" w:lineRule="auto"/>
              <w:jc w:val="both"/>
              <w:rPr>
                <w:rFonts w:ascii="Calibri" w:hAnsi="Calibri" w:cs="Calibri"/>
                <w:b/>
                <w:color w:val="000000"/>
              </w:rPr>
            </w:pPr>
            <w:r w:rsidRPr="000441E1">
              <w:rPr>
                <w:rFonts w:ascii="Calibri" w:hAnsi="Calibri" w:cs="Calibri"/>
                <w:b/>
                <w:color w:val="000000"/>
              </w:rPr>
              <w:lastRenderedPageBreak/>
              <w:t>Consideraciones fiscales:</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El </w:t>
            </w:r>
            <w:r w:rsidR="008710C6">
              <w:rPr>
                <w:rFonts w:ascii="Calibri" w:hAnsi="Calibri" w:cs="Calibri"/>
                <w:color w:val="000000"/>
              </w:rPr>
              <w:t xml:space="preserve">Hogar Cabañas se encuentra regulado </w:t>
            </w:r>
            <w:r>
              <w:rPr>
                <w:rFonts w:ascii="Calibri" w:hAnsi="Calibri" w:cs="Calibri"/>
                <w:color w:val="000000"/>
              </w:rPr>
              <w:t xml:space="preserve"> por el Título III de la Ley del Impuesto Sobre la Renta, Régimen de Personas Morales con Fines no lucrativos y conforme a lo establecido en el artículo 86 de la Ley descrita, y las leyes a que estamos sujetos, el Hogar Ca</w:t>
            </w:r>
            <w:r w:rsidR="00FB4570">
              <w:rPr>
                <w:rFonts w:ascii="Calibri" w:hAnsi="Calibri" w:cs="Calibri"/>
                <w:color w:val="000000"/>
              </w:rPr>
              <w:t>ba</w:t>
            </w:r>
            <w:r>
              <w:rPr>
                <w:rFonts w:ascii="Calibri" w:hAnsi="Calibri" w:cs="Calibri"/>
                <w:color w:val="000000"/>
              </w:rPr>
              <w:t>ñas tiene las siguientes obligaciones fiscales:</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1.- Retener y enterar los Impuestos que procedan.</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2.- Exigir la documentación que reúnan los requisitos fiscales.</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3.- </w:t>
            </w:r>
            <w:r w:rsidR="00560D84">
              <w:rPr>
                <w:rFonts w:ascii="Calibri" w:hAnsi="Calibri" w:cs="Calibri"/>
                <w:color w:val="000000"/>
              </w:rPr>
              <w:t>Presentación e información en Ley de Prevención e Identificación de operaciones con recursos de procedencia ilícita.</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4.- Presentación periódica de declaraciones informativas.</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Pr="00555143" w:rsidRDefault="000441E1" w:rsidP="00C85CAF">
            <w:pPr>
              <w:pStyle w:val="Prrafodelista"/>
              <w:numPr>
                <w:ilvl w:val="0"/>
                <w:numId w:val="4"/>
              </w:numPr>
              <w:autoSpaceDE w:val="0"/>
              <w:autoSpaceDN w:val="0"/>
              <w:adjustRightInd w:val="0"/>
              <w:spacing w:after="0" w:line="240" w:lineRule="auto"/>
              <w:jc w:val="both"/>
              <w:rPr>
                <w:rFonts w:ascii="Calibri" w:hAnsi="Calibri" w:cs="Calibri"/>
                <w:color w:val="000000"/>
              </w:rPr>
            </w:pPr>
            <w:r>
              <w:rPr>
                <w:rFonts w:ascii="Calibri" w:hAnsi="Calibri" w:cs="Calibri"/>
                <w:b/>
                <w:color w:val="000000"/>
              </w:rPr>
              <w:t>Estructura organizacional b</w:t>
            </w:r>
            <w:r w:rsidR="00C85CAF" w:rsidRPr="00555143">
              <w:rPr>
                <w:rFonts w:ascii="Calibri" w:hAnsi="Calibri" w:cs="Calibri"/>
                <w:b/>
                <w:color w:val="000000"/>
              </w:rPr>
              <w:t>ásica</w:t>
            </w:r>
            <w:r w:rsidR="00C85CAF" w:rsidRPr="00555143">
              <w:rPr>
                <w:rFonts w:ascii="Calibri" w:hAnsi="Calibri" w:cs="Calibri"/>
                <w:color w:val="000000"/>
              </w:rPr>
              <w:t>:</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Junta de Gobierno</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Dirección General</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Subdirección </w:t>
            </w:r>
            <w:r w:rsidR="00560D84">
              <w:rPr>
                <w:rFonts w:ascii="Calibri" w:hAnsi="Calibri" w:cs="Calibri"/>
                <w:color w:val="000000"/>
              </w:rPr>
              <w:t xml:space="preserve">Técnico </w:t>
            </w:r>
            <w:r>
              <w:rPr>
                <w:rFonts w:ascii="Calibri" w:hAnsi="Calibri" w:cs="Calibri"/>
                <w:color w:val="000000"/>
              </w:rPr>
              <w:t>Educativa</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Subdirección Administrativa</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Coordinaciones Generales</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Encargados de áreas</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Áreas operativas y de soporte</w:t>
            </w:r>
            <w:r w:rsidR="00FB4570">
              <w:rPr>
                <w:rFonts w:ascii="Calibri" w:hAnsi="Calibri" w:cs="Calibri"/>
                <w:color w:val="000000"/>
              </w:rPr>
              <w:t>.</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b/>
                <w:color w:val="000000"/>
              </w:rPr>
            </w:pPr>
            <w:r w:rsidRPr="00555143">
              <w:rPr>
                <w:rFonts w:ascii="Calibri" w:hAnsi="Calibri" w:cs="Calibri"/>
                <w:b/>
                <w:color w:val="000000"/>
              </w:rPr>
              <w:t>5.- Bases de preparación de los Estado Financieros.</w:t>
            </w:r>
          </w:p>
          <w:p w:rsidR="000441E1" w:rsidRPr="00555143" w:rsidRDefault="000441E1" w:rsidP="00107AA4">
            <w:pPr>
              <w:autoSpaceDE w:val="0"/>
              <w:autoSpaceDN w:val="0"/>
              <w:adjustRightInd w:val="0"/>
              <w:spacing w:after="0" w:line="240" w:lineRule="auto"/>
              <w:jc w:val="both"/>
              <w:rPr>
                <w:rFonts w:ascii="Calibri" w:hAnsi="Calibri" w:cs="Calibri"/>
                <w:b/>
                <w:color w:val="000000"/>
              </w:rPr>
            </w:pPr>
          </w:p>
          <w:p w:rsidR="00C85CAF" w:rsidRDefault="00FB4570" w:rsidP="007D0755">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Al </w:t>
            </w:r>
            <w:r w:rsidR="000441E1">
              <w:rPr>
                <w:rFonts w:ascii="Calibri" w:hAnsi="Calibri" w:cs="Calibri"/>
                <w:color w:val="000000"/>
              </w:rPr>
              <w:t xml:space="preserve"> </w:t>
            </w:r>
            <w:r>
              <w:rPr>
                <w:rFonts w:ascii="Calibri" w:hAnsi="Calibri" w:cs="Calibri"/>
                <w:color w:val="000000"/>
              </w:rPr>
              <w:t>31</w:t>
            </w:r>
            <w:r w:rsidR="00C85CAF">
              <w:rPr>
                <w:rFonts w:ascii="Calibri" w:hAnsi="Calibri" w:cs="Calibri"/>
                <w:color w:val="000000"/>
              </w:rPr>
              <w:t xml:space="preserve"> de </w:t>
            </w:r>
            <w:r w:rsidR="000441E1">
              <w:rPr>
                <w:rFonts w:ascii="Calibri" w:hAnsi="Calibri" w:cs="Calibri"/>
                <w:color w:val="000000"/>
              </w:rPr>
              <w:t xml:space="preserve"> D</w:t>
            </w:r>
            <w:r>
              <w:rPr>
                <w:rFonts w:ascii="Calibri" w:hAnsi="Calibri" w:cs="Calibri"/>
                <w:color w:val="000000"/>
              </w:rPr>
              <w:t>ici</w:t>
            </w:r>
            <w:r w:rsidR="00C85CAF">
              <w:rPr>
                <w:rFonts w:ascii="Calibri" w:hAnsi="Calibri" w:cs="Calibri"/>
                <w:color w:val="000000"/>
              </w:rPr>
              <w:t>embre de 2018, el Organismo prepara sus Estados Financieros sobre la base de costo histórico original y con lo dispuesto por la Ley General de Contabilidad Gubernamental y las normas establecidas por el Consejo Nacional d</w:t>
            </w:r>
            <w:r w:rsidR="007D0755">
              <w:rPr>
                <w:rFonts w:ascii="Calibri" w:hAnsi="Calibri" w:cs="Calibri"/>
                <w:color w:val="000000"/>
              </w:rPr>
              <w:t>e Armonización Contable (CONAC) en base al devengado.</w:t>
            </w:r>
            <w:r w:rsidR="00C85CAF">
              <w:rPr>
                <w:rFonts w:ascii="Calibri" w:hAnsi="Calibri" w:cs="Calibri"/>
                <w:color w:val="000000"/>
              </w:rPr>
              <w:t xml:space="preserve"> Aunque cabe mencionar</w:t>
            </w:r>
            <w:r w:rsidR="007D0755">
              <w:rPr>
                <w:rFonts w:ascii="Calibri" w:hAnsi="Calibri" w:cs="Calibri"/>
                <w:color w:val="000000"/>
              </w:rPr>
              <w:t>,</w:t>
            </w:r>
            <w:r w:rsidR="00C85CAF">
              <w:rPr>
                <w:rFonts w:ascii="Calibri" w:hAnsi="Calibri" w:cs="Calibri"/>
                <w:color w:val="000000"/>
              </w:rPr>
              <w:t xml:space="preserve"> que el Sistema informático CONTPAQI no cumple con todos los requerimientos y consideraciones marcados en la</w:t>
            </w:r>
            <w:r w:rsidR="00560D84">
              <w:rPr>
                <w:rFonts w:ascii="Calibri" w:hAnsi="Calibri" w:cs="Calibri"/>
                <w:color w:val="000000"/>
              </w:rPr>
              <w:t>s normas emitidas por el CONAC S</w:t>
            </w:r>
            <w:r w:rsidR="00C85CAF">
              <w:rPr>
                <w:rFonts w:ascii="Calibri" w:hAnsi="Calibri" w:cs="Calibri"/>
                <w:color w:val="000000"/>
              </w:rPr>
              <w:t>e encuentra en proceso la implementación del sistema ICONG, (Sistema Integral de Gestión Gubernamental) que contemplaría la totalidad de dichos requerimientos.</w:t>
            </w:r>
            <w:r>
              <w:rPr>
                <w:rFonts w:ascii="Calibri" w:hAnsi="Calibri" w:cs="Calibri"/>
                <w:color w:val="000000"/>
              </w:rPr>
              <w:t xml:space="preserve"> Al cierre del Ejercicio y por circunstancias </w:t>
            </w:r>
            <w:r w:rsidR="00560D84">
              <w:rPr>
                <w:rFonts w:ascii="Calibri" w:hAnsi="Calibri" w:cs="Calibri"/>
                <w:color w:val="000000"/>
              </w:rPr>
              <w:t xml:space="preserve">ajenas al organismo el sistema </w:t>
            </w:r>
            <w:r>
              <w:rPr>
                <w:rFonts w:ascii="Calibri" w:hAnsi="Calibri" w:cs="Calibri"/>
                <w:color w:val="000000"/>
              </w:rPr>
              <w:t xml:space="preserve">Informático </w:t>
            </w:r>
            <w:r w:rsidR="00560D84">
              <w:rPr>
                <w:rFonts w:ascii="Calibri" w:hAnsi="Calibri" w:cs="Calibri"/>
                <w:color w:val="000000"/>
              </w:rPr>
              <w:t xml:space="preserve">ICONG </w:t>
            </w:r>
            <w:r>
              <w:rPr>
                <w:rFonts w:ascii="Calibri" w:hAnsi="Calibri" w:cs="Calibri"/>
                <w:color w:val="000000"/>
              </w:rPr>
              <w:t xml:space="preserve">dejó de tener funcionalidad, </w:t>
            </w:r>
            <w:r w:rsidR="00560D84">
              <w:rPr>
                <w:rFonts w:ascii="Calibri" w:hAnsi="Calibri" w:cs="Calibri"/>
                <w:color w:val="000000"/>
              </w:rPr>
              <w:t>por lo</w:t>
            </w:r>
            <w:r>
              <w:rPr>
                <w:rFonts w:ascii="Calibri" w:hAnsi="Calibri" w:cs="Calibri"/>
                <w:color w:val="000000"/>
              </w:rPr>
              <w:t xml:space="preserve"> que los Estados Financieros se prepararon en un</w:t>
            </w:r>
            <w:r w:rsidR="00560D84">
              <w:rPr>
                <w:rFonts w:ascii="Calibri" w:hAnsi="Calibri" w:cs="Calibri"/>
                <w:color w:val="000000"/>
              </w:rPr>
              <w:t>a</w:t>
            </w:r>
            <w:r>
              <w:rPr>
                <w:rFonts w:ascii="Calibri" w:hAnsi="Calibri" w:cs="Calibri"/>
                <w:color w:val="000000"/>
              </w:rPr>
              <w:t xml:space="preserve"> base distinta</w:t>
            </w:r>
            <w:r w:rsidR="007D0755">
              <w:rPr>
                <w:rFonts w:ascii="Calibri" w:hAnsi="Calibri" w:cs="Calibri"/>
                <w:color w:val="000000"/>
              </w:rPr>
              <w:t>,</w:t>
            </w:r>
            <w:r>
              <w:rPr>
                <w:rFonts w:ascii="Calibri" w:hAnsi="Calibri" w:cs="Calibri"/>
                <w:color w:val="000000"/>
              </w:rPr>
              <w:t xml:space="preserve"> de m</w:t>
            </w:r>
            <w:r w:rsidR="007D0755">
              <w:rPr>
                <w:rFonts w:ascii="Calibri" w:hAnsi="Calibri" w:cs="Calibri"/>
                <w:color w:val="000000"/>
              </w:rPr>
              <w:t>ane</w:t>
            </w:r>
            <w:r w:rsidR="00560D84">
              <w:rPr>
                <w:rFonts w:ascii="Calibri" w:hAnsi="Calibri" w:cs="Calibri"/>
                <w:color w:val="000000"/>
              </w:rPr>
              <w:t>ra manual para su emisión</w:t>
            </w:r>
            <w:r w:rsidR="007D0755">
              <w:rPr>
                <w:rFonts w:ascii="Calibri" w:hAnsi="Calibri" w:cs="Calibri"/>
                <w:color w:val="000000"/>
              </w:rPr>
              <w:t>.</w:t>
            </w:r>
          </w:p>
          <w:p w:rsidR="007D0755" w:rsidRDefault="007D0755" w:rsidP="007D0755">
            <w:pPr>
              <w:autoSpaceDE w:val="0"/>
              <w:autoSpaceDN w:val="0"/>
              <w:adjustRightInd w:val="0"/>
              <w:spacing w:after="0" w:line="240" w:lineRule="auto"/>
              <w:jc w:val="both"/>
              <w:rPr>
                <w:rFonts w:ascii="Calibri" w:hAnsi="Calibri" w:cs="Calibri"/>
                <w:color w:val="000000"/>
              </w:rPr>
            </w:pP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lastRenderedPageBreak/>
              <w:t>6.- Políticas de Contabilidad Significativas</w:t>
            </w:r>
          </w:p>
        </w:tc>
        <w:tc>
          <w:tcPr>
            <w:tcW w:w="1870" w:type="dxa"/>
            <w:gridSpan w:val="2"/>
            <w:tcBorders>
              <w:top w:val="nil"/>
              <w:left w:val="nil"/>
              <w:bottom w:val="nil"/>
              <w:right w:val="nil"/>
            </w:tcBorders>
          </w:tcPr>
          <w:p w:rsidR="00C85CAF" w:rsidRDefault="00C85CAF" w:rsidP="00565068">
            <w:pPr>
              <w:autoSpaceDE w:val="0"/>
              <w:autoSpaceDN w:val="0"/>
              <w:adjustRightInd w:val="0"/>
              <w:spacing w:after="0" w:line="240" w:lineRule="auto"/>
              <w:ind w:left="-4415" w:right="-2785"/>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565068" w:rsidRDefault="00565068" w:rsidP="00107AA4">
            <w:pPr>
              <w:autoSpaceDE w:val="0"/>
              <w:autoSpaceDN w:val="0"/>
              <w:adjustRightInd w:val="0"/>
              <w:spacing w:after="0" w:line="240" w:lineRule="auto"/>
              <w:jc w:val="both"/>
              <w:rPr>
                <w:rFonts w:ascii="Calibri" w:hAnsi="Calibri" w:cs="Calibri"/>
                <w:color w:val="000000"/>
              </w:rPr>
            </w:pPr>
          </w:p>
          <w:p w:rsidR="00565068" w:rsidRPr="00565068" w:rsidRDefault="00565068" w:rsidP="000441E1">
            <w:pPr>
              <w:numPr>
                <w:ilvl w:val="0"/>
                <w:numId w:val="5"/>
              </w:numPr>
              <w:autoSpaceDE w:val="0"/>
              <w:autoSpaceDN w:val="0"/>
              <w:adjustRightInd w:val="0"/>
              <w:spacing w:after="0" w:line="240" w:lineRule="auto"/>
              <w:contextualSpacing/>
              <w:jc w:val="both"/>
              <w:rPr>
                <w:rFonts w:ascii="Calibri" w:hAnsi="Calibri" w:cs="Calibri"/>
                <w:color w:val="000000"/>
              </w:rPr>
            </w:pPr>
            <w:r w:rsidRPr="00565068">
              <w:rPr>
                <w:rFonts w:ascii="Calibri" w:hAnsi="Calibri" w:cs="Calibri"/>
                <w:color w:val="000000"/>
              </w:rPr>
              <w:t>Actualización: Durante el ejercicio de 2018 no fue realizada ninguna actualización del valor de los activos, ya que se realizó un inventario físico total, sin haber logrado la conciliación con los registros contables, por lo que en el ejercicio de 2019 se llevará a cabo, logrando con esto la actualización del valor de los activos que se encuentren en condiciones de uso, de acuerdo a las normas de la CONAC.</w:t>
            </w:r>
          </w:p>
          <w:p w:rsidR="00565068" w:rsidRPr="00565068" w:rsidRDefault="00565068" w:rsidP="00565068">
            <w:pPr>
              <w:numPr>
                <w:ilvl w:val="0"/>
                <w:numId w:val="5"/>
              </w:numPr>
              <w:autoSpaceDE w:val="0"/>
              <w:autoSpaceDN w:val="0"/>
              <w:adjustRightInd w:val="0"/>
              <w:spacing w:after="0" w:line="240" w:lineRule="auto"/>
              <w:contextualSpacing/>
              <w:jc w:val="both"/>
              <w:rPr>
                <w:rFonts w:ascii="Calibri" w:hAnsi="Calibri" w:cs="Calibri"/>
                <w:color w:val="000000"/>
              </w:rPr>
            </w:pPr>
            <w:r w:rsidRPr="00565068">
              <w:rPr>
                <w:rFonts w:ascii="Calibri" w:hAnsi="Calibri" w:cs="Calibri"/>
                <w:color w:val="000000"/>
              </w:rPr>
              <w:t>Operaciones en el extranjero: No se llevó a cabo ninguna operación en el extranjero, por lo que no tuvo efectos en la información financiera gubernamental.</w:t>
            </w:r>
          </w:p>
          <w:p w:rsidR="00565068" w:rsidRPr="00565068" w:rsidRDefault="00565068" w:rsidP="00565068">
            <w:pPr>
              <w:numPr>
                <w:ilvl w:val="0"/>
                <w:numId w:val="5"/>
              </w:numPr>
              <w:autoSpaceDE w:val="0"/>
              <w:autoSpaceDN w:val="0"/>
              <w:adjustRightInd w:val="0"/>
              <w:spacing w:after="0" w:line="240" w:lineRule="auto"/>
              <w:contextualSpacing/>
              <w:jc w:val="both"/>
              <w:rPr>
                <w:rFonts w:ascii="Calibri" w:hAnsi="Calibri" w:cs="Calibri"/>
                <w:color w:val="000000"/>
              </w:rPr>
            </w:pPr>
            <w:r w:rsidRPr="00565068">
              <w:rPr>
                <w:rFonts w:ascii="Calibri" w:hAnsi="Calibri" w:cs="Calibri"/>
                <w:color w:val="000000"/>
              </w:rPr>
              <w:t>Método de valuación de la</w:t>
            </w:r>
            <w:r>
              <w:rPr>
                <w:rFonts w:ascii="Calibri" w:hAnsi="Calibri" w:cs="Calibri"/>
                <w:color w:val="000000"/>
              </w:rPr>
              <w:t>s</w:t>
            </w:r>
            <w:r w:rsidRPr="00565068">
              <w:rPr>
                <w:rFonts w:ascii="Calibri" w:hAnsi="Calibri" w:cs="Calibri"/>
                <w:color w:val="000000"/>
              </w:rPr>
              <w:t xml:space="preserve"> inversiones en acciones de compañías subsidiarias no consolidadas y asociadas: El Hogar Cabañas no cuenta con inversiones en compañías </w:t>
            </w:r>
            <w:r w:rsidRPr="00565068">
              <w:rPr>
                <w:rFonts w:ascii="Calibri" w:hAnsi="Calibri" w:cs="Calibri"/>
                <w:color w:val="000000"/>
              </w:rPr>
              <w:lastRenderedPageBreak/>
              <w:t>subsidiarias no consolidadas y asociadas por lo que no existe un método de valuación de inversiones.</w:t>
            </w:r>
          </w:p>
          <w:p w:rsidR="00565068" w:rsidRPr="00565068" w:rsidRDefault="00565068" w:rsidP="00565068">
            <w:pPr>
              <w:numPr>
                <w:ilvl w:val="0"/>
                <w:numId w:val="5"/>
              </w:numPr>
              <w:autoSpaceDE w:val="0"/>
              <w:autoSpaceDN w:val="0"/>
              <w:adjustRightInd w:val="0"/>
              <w:spacing w:after="0" w:line="240" w:lineRule="auto"/>
              <w:contextualSpacing/>
              <w:jc w:val="both"/>
              <w:rPr>
                <w:rFonts w:ascii="Calibri" w:hAnsi="Calibri" w:cs="Calibri"/>
                <w:color w:val="000000"/>
              </w:rPr>
            </w:pPr>
            <w:r w:rsidRPr="00565068">
              <w:rPr>
                <w:rFonts w:ascii="Calibri" w:hAnsi="Calibri" w:cs="Calibri"/>
                <w:color w:val="000000"/>
              </w:rPr>
              <w:t>Sistema y método de valuación de inventarios: El Hogar Cabañas utiliza el Siste</w:t>
            </w:r>
            <w:r>
              <w:rPr>
                <w:rFonts w:ascii="Calibri" w:hAnsi="Calibri" w:cs="Calibri"/>
                <w:color w:val="000000"/>
              </w:rPr>
              <w:t xml:space="preserve">ma de inventarios perpetuos, así </w:t>
            </w:r>
            <w:r w:rsidRPr="00565068">
              <w:rPr>
                <w:rFonts w:ascii="Calibri" w:hAnsi="Calibri" w:cs="Calibri"/>
                <w:color w:val="000000"/>
              </w:rPr>
              <w:t xml:space="preserve">como el método de costos promedios para </w:t>
            </w:r>
            <w:r>
              <w:rPr>
                <w:rFonts w:ascii="Calibri" w:hAnsi="Calibri" w:cs="Calibri"/>
                <w:color w:val="000000"/>
              </w:rPr>
              <w:t>s</w:t>
            </w:r>
            <w:r w:rsidRPr="00565068">
              <w:rPr>
                <w:rFonts w:ascii="Calibri" w:hAnsi="Calibri" w:cs="Calibri"/>
                <w:color w:val="000000"/>
              </w:rPr>
              <w:t xml:space="preserve">u valuación. </w:t>
            </w:r>
          </w:p>
          <w:p w:rsidR="00565068" w:rsidRDefault="00565068" w:rsidP="00565068">
            <w:pPr>
              <w:numPr>
                <w:ilvl w:val="0"/>
                <w:numId w:val="5"/>
              </w:numPr>
              <w:autoSpaceDE w:val="0"/>
              <w:autoSpaceDN w:val="0"/>
              <w:adjustRightInd w:val="0"/>
              <w:spacing w:after="0" w:line="240" w:lineRule="auto"/>
              <w:contextualSpacing/>
              <w:jc w:val="both"/>
              <w:rPr>
                <w:rFonts w:ascii="Calibri" w:hAnsi="Calibri" w:cs="Calibri"/>
                <w:color w:val="000000"/>
              </w:rPr>
            </w:pPr>
            <w:r w:rsidRPr="00565068">
              <w:rPr>
                <w:rFonts w:ascii="Calibri" w:hAnsi="Calibri" w:cs="Calibri"/>
                <w:color w:val="000000"/>
              </w:rPr>
              <w:t>Beneficios a empleados: El Hogar Cabañas no realiza el cálculo de la reserva</w:t>
            </w:r>
            <w:r w:rsidR="00A15009">
              <w:rPr>
                <w:rFonts w:ascii="Calibri" w:hAnsi="Calibri" w:cs="Calibri"/>
                <w:color w:val="000000"/>
              </w:rPr>
              <w:t xml:space="preserve"> a</w:t>
            </w:r>
            <w:r w:rsidRPr="00565068">
              <w:rPr>
                <w:rFonts w:ascii="Calibri" w:hAnsi="Calibri" w:cs="Calibri"/>
                <w:color w:val="000000"/>
              </w:rPr>
              <w:t>ctuarial, sin embargo de acuerdo a la normatividad de la CONAC se realiza la estimación de los siguientes 5 ejercicios en lo referente a los ingresos y la estimación de gastos.</w:t>
            </w:r>
          </w:p>
          <w:p w:rsidR="00A15009" w:rsidRDefault="00A15009" w:rsidP="00A15009">
            <w:pPr>
              <w:pStyle w:val="Prrafodelista"/>
              <w:numPr>
                <w:ilvl w:val="0"/>
                <w:numId w:val="5"/>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Provisiones: Se calculan y se registran las provisiones para pasivos contingentes, informadas en el Estado de pasivos contingentes, tomando en cuenta los compromisos totales de pago, tanto de los juicios en proceso como de los que pudieran realizarse en la totalidad del personal adscrito, sin que se hubiera creado una cuenta específica productiva para afrontar dichos compromisos. Sin embargo en el presupuesto aprobado para el 2018 fueron considerados importes para la </w:t>
            </w:r>
            <w:proofErr w:type="spellStart"/>
            <w:r>
              <w:rPr>
                <w:rFonts w:ascii="Calibri" w:hAnsi="Calibri" w:cs="Calibri"/>
                <w:color w:val="000000"/>
              </w:rPr>
              <w:t>sufragación</w:t>
            </w:r>
            <w:proofErr w:type="spellEnd"/>
            <w:r>
              <w:rPr>
                <w:rFonts w:ascii="Calibri" w:hAnsi="Calibri" w:cs="Calibri"/>
                <w:color w:val="000000"/>
              </w:rPr>
              <w:t xml:space="preserve"> de gastos por indemnizaciones de personal.</w:t>
            </w:r>
          </w:p>
          <w:p w:rsidR="00A15009" w:rsidRDefault="00A15009" w:rsidP="00A15009">
            <w:pPr>
              <w:pStyle w:val="Prrafodelista"/>
              <w:numPr>
                <w:ilvl w:val="0"/>
                <w:numId w:val="5"/>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Reservas: El Hogar Cabañas no ha creado reserva alguna.</w:t>
            </w:r>
          </w:p>
          <w:p w:rsidR="00A15009" w:rsidRPr="00A15009" w:rsidRDefault="00A15009" w:rsidP="00A15009">
            <w:pPr>
              <w:pStyle w:val="Prrafodelista"/>
              <w:numPr>
                <w:ilvl w:val="0"/>
                <w:numId w:val="5"/>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Cambios en políticas contables y corrección de errores: El Hogar Cabañas en el ejercicio de 2018 realizó una corrección al resultado del ejercicio 2017, por la cantidad de $ 682,709.00 derivado de la devolución al Sistema </w:t>
            </w:r>
            <w:proofErr w:type="spellStart"/>
            <w:r>
              <w:rPr>
                <w:rFonts w:ascii="Calibri" w:hAnsi="Calibri" w:cs="Calibri"/>
                <w:color w:val="000000"/>
              </w:rPr>
              <w:t>Dif</w:t>
            </w:r>
            <w:proofErr w:type="spellEnd"/>
            <w:r>
              <w:rPr>
                <w:rFonts w:ascii="Calibri" w:hAnsi="Calibri" w:cs="Calibri"/>
                <w:color w:val="000000"/>
              </w:rPr>
              <w:t xml:space="preserve"> Jalisco de los recursos recibidos durante el ejercicio 2017 para la </w:t>
            </w:r>
            <w:proofErr w:type="spellStart"/>
            <w:r>
              <w:rPr>
                <w:rFonts w:ascii="Calibri" w:hAnsi="Calibri" w:cs="Calibri"/>
                <w:color w:val="000000"/>
              </w:rPr>
              <w:t>sufragación</w:t>
            </w:r>
            <w:proofErr w:type="spellEnd"/>
            <w:r>
              <w:rPr>
                <w:rFonts w:ascii="Calibri" w:hAnsi="Calibri" w:cs="Calibri"/>
                <w:color w:val="000000"/>
              </w:rPr>
              <w:t xml:space="preserve"> de gastos del Convenio de colaboración para la implementación del Albergue Filtro</w:t>
            </w:r>
            <w:r w:rsidR="000441E1">
              <w:rPr>
                <w:rFonts w:ascii="Calibri" w:hAnsi="Calibri" w:cs="Calibri"/>
                <w:color w:val="000000"/>
              </w:rPr>
              <w:t>,</w:t>
            </w:r>
            <w:r>
              <w:rPr>
                <w:rFonts w:ascii="Calibri" w:hAnsi="Calibri" w:cs="Calibri"/>
                <w:color w:val="000000"/>
              </w:rPr>
              <w:t xml:space="preserve"> autorización</w:t>
            </w:r>
            <w:r w:rsidR="000441E1">
              <w:rPr>
                <w:rFonts w:ascii="Calibri" w:hAnsi="Calibri" w:cs="Calibri"/>
                <w:color w:val="000000"/>
              </w:rPr>
              <w:t xml:space="preserve"> suscrita </w:t>
            </w:r>
            <w:r>
              <w:rPr>
                <w:rFonts w:ascii="Calibri" w:hAnsi="Calibri" w:cs="Calibri"/>
                <w:color w:val="000000"/>
              </w:rPr>
              <w:t>por la Junta de Gobierno</w:t>
            </w:r>
            <w:r w:rsidRPr="00A15009">
              <w:rPr>
                <w:rFonts w:ascii="Calibri" w:hAnsi="Calibri" w:cs="Calibri"/>
                <w:color w:val="000000"/>
              </w:rPr>
              <w:t>. De igual forma se corrigió el resultado del ejercicio 2017 por la cantidad de</w:t>
            </w:r>
            <w:r w:rsidR="00D06559">
              <w:rPr>
                <w:rFonts w:ascii="Calibri" w:hAnsi="Calibri" w:cs="Calibri"/>
                <w:color w:val="000000"/>
              </w:rPr>
              <w:t xml:space="preserve"> </w:t>
            </w:r>
            <w:r w:rsidRPr="00A15009">
              <w:rPr>
                <w:rFonts w:ascii="Calibri" w:hAnsi="Calibri" w:cs="Calibri"/>
                <w:color w:val="000000"/>
              </w:rPr>
              <w:t>$782</w:t>
            </w:r>
            <w:r w:rsidR="00D06559">
              <w:rPr>
                <w:rFonts w:ascii="Calibri" w:hAnsi="Calibri" w:cs="Calibri"/>
                <w:color w:val="000000"/>
              </w:rPr>
              <w:t>.00</w:t>
            </w:r>
            <w:r w:rsidRPr="00A15009">
              <w:rPr>
                <w:rFonts w:ascii="Calibri" w:hAnsi="Calibri" w:cs="Calibri"/>
                <w:color w:val="000000"/>
              </w:rPr>
              <w:t xml:space="preserve"> derivado de la cancelación de cobro de un proveedor.</w:t>
            </w:r>
          </w:p>
          <w:p w:rsidR="00A15009" w:rsidRDefault="00A15009" w:rsidP="00A15009">
            <w:pPr>
              <w:pStyle w:val="Prrafodelista"/>
              <w:numPr>
                <w:ilvl w:val="0"/>
                <w:numId w:val="5"/>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Reclasificaciones: Existieron reclasificaciones que no implican efectos importantes en las operaciones, se realizaron para dar congruencia con las operaciones efectuadas.</w:t>
            </w:r>
          </w:p>
          <w:p w:rsidR="00A15009" w:rsidRDefault="00A15009" w:rsidP="00A15009">
            <w:pPr>
              <w:pStyle w:val="Prrafodelista"/>
              <w:numPr>
                <w:ilvl w:val="0"/>
                <w:numId w:val="5"/>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Depuración y cancelación de saldos: </w:t>
            </w:r>
            <w:r w:rsidR="00D06559">
              <w:rPr>
                <w:rFonts w:ascii="Calibri" w:hAnsi="Calibri" w:cs="Calibri"/>
                <w:color w:val="000000"/>
              </w:rPr>
              <w:t>F</w:t>
            </w:r>
            <w:r>
              <w:rPr>
                <w:rFonts w:ascii="Calibri" w:hAnsi="Calibri" w:cs="Calibri"/>
                <w:color w:val="000000"/>
              </w:rPr>
              <w:t xml:space="preserve">ueron llevadas a cabo de manera mensual la depuración de las cuentas contables, afectando los movimientos correspondientes al Almacén general, Deudores Diversos, Acreedores Diversos, Impuestos por pagar, etc. </w:t>
            </w:r>
            <w:r w:rsidR="00D06559">
              <w:rPr>
                <w:rFonts w:ascii="Calibri" w:hAnsi="Calibri" w:cs="Calibri"/>
                <w:color w:val="000000"/>
              </w:rPr>
              <w:t>De igual forma se realizaron cancelaciones mínimas de importes derivados por condonación de pago de cuotas de aseguramiento de Seguros Sura, S.A. y cancelación de saldos por duplicidad en pago de facturas de Dolores Magdalena Rosales Rosas.</w:t>
            </w:r>
          </w:p>
          <w:p w:rsidR="00A15009" w:rsidRPr="000A1F92" w:rsidRDefault="00A15009" w:rsidP="00A15009">
            <w:pPr>
              <w:autoSpaceDE w:val="0"/>
              <w:autoSpaceDN w:val="0"/>
              <w:adjustRightInd w:val="0"/>
              <w:spacing w:after="0" w:line="240" w:lineRule="auto"/>
              <w:ind w:left="360"/>
              <w:jc w:val="both"/>
              <w:rPr>
                <w:rFonts w:ascii="Calibri" w:hAnsi="Calibri" w:cs="Calibri"/>
                <w:color w:val="000000"/>
              </w:rPr>
            </w:pPr>
          </w:p>
          <w:p w:rsidR="00C85CAF" w:rsidRDefault="00A15009" w:rsidP="00AD1DCF">
            <w:pPr>
              <w:numPr>
                <w:ilvl w:val="0"/>
                <w:numId w:val="5"/>
              </w:numPr>
              <w:autoSpaceDE w:val="0"/>
              <w:autoSpaceDN w:val="0"/>
              <w:adjustRightInd w:val="0"/>
              <w:spacing w:after="0" w:line="240" w:lineRule="auto"/>
              <w:contextualSpacing/>
              <w:jc w:val="both"/>
              <w:rPr>
                <w:rFonts w:ascii="Calibri" w:hAnsi="Calibri" w:cs="Calibri"/>
                <w:color w:val="000000"/>
              </w:rPr>
            </w:pPr>
            <w:r w:rsidRPr="00D06559">
              <w:rPr>
                <w:rFonts w:ascii="Calibri" w:hAnsi="Calibri" w:cs="Calibri"/>
                <w:color w:val="000000"/>
              </w:rPr>
              <w:t>La contabilidad se maneja con base en cifras acumuladas, pues sus transacciones son contabilizadas conforme a la fecha de su realización, independientemente de la de su pago, entendiéndose por ello el registro de operaciones devengadas, de conformidad con la Ley de Presupuesto, Contabilidad y Gasto público del Estado de Jalisco.</w:t>
            </w:r>
          </w:p>
        </w:tc>
      </w:tr>
      <w:tr w:rsidR="00C85CAF" w:rsidTr="00AB3902">
        <w:trPr>
          <w:gridAfter w:val="6"/>
          <w:wAfter w:w="8294" w:type="dxa"/>
          <w:trHeight w:val="290"/>
        </w:trPr>
        <w:tc>
          <w:tcPr>
            <w:tcW w:w="1656" w:type="dxa"/>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RPr="007E3523" w:rsidTr="00AB3902">
        <w:trPr>
          <w:gridAfter w:val="3"/>
          <w:wAfter w:w="3877" w:type="dxa"/>
          <w:trHeight w:val="290"/>
        </w:trPr>
        <w:tc>
          <w:tcPr>
            <w:tcW w:w="8717" w:type="dxa"/>
            <w:gridSpan w:val="6"/>
            <w:tcBorders>
              <w:top w:val="nil"/>
              <w:left w:val="nil"/>
              <w:bottom w:val="nil"/>
              <w:right w:val="nil"/>
            </w:tcBorders>
          </w:tcPr>
          <w:p w:rsidR="00C85CAF" w:rsidRPr="007E3523" w:rsidRDefault="00C85CAF" w:rsidP="00AD1DCF">
            <w:pPr>
              <w:autoSpaceDE w:val="0"/>
              <w:autoSpaceDN w:val="0"/>
              <w:adjustRightInd w:val="0"/>
              <w:spacing w:after="0" w:line="240" w:lineRule="auto"/>
              <w:jc w:val="both"/>
              <w:rPr>
                <w:rFonts w:ascii="Calibri" w:hAnsi="Calibri" w:cs="Calibri"/>
                <w:b/>
                <w:bCs/>
                <w:color w:val="000000"/>
              </w:rPr>
            </w:pPr>
          </w:p>
          <w:tbl>
            <w:tblPr>
              <w:tblW w:w="14405" w:type="dxa"/>
              <w:tblInd w:w="70" w:type="dxa"/>
              <w:tblLayout w:type="fixed"/>
              <w:tblCellMar>
                <w:left w:w="70" w:type="dxa"/>
                <w:right w:w="70" w:type="dxa"/>
              </w:tblCellMar>
              <w:tblLook w:val="0000" w:firstRow="0" w:lastRow="0" w:firstColumn="0" w:lastColumn="0" w:noHBand="0" w:noVBand="0"/>
            </w:tblPr>
            <w:tblGrid>
              <w:gridCol w:w="8507"/>
              <w:gridCol w:w="2949"/>
              <w:gridCol w:w="2949"/>
            </w:tblGrid>
            <w:tr w:rsidR="00AD1DCF" w:rsidRPr="007E3523" w:rsidTr="000441E1">
              <w:trPr>
                <w:gridAfter w:val="2"/>
                <w:wAfter w:w="5898" w:type="dxa"/>
                <w:trHeight w:val="290"/>
              </w:trPr>
              <w:tc>
                <w:tcPr>
                  <w:tcW w:w="8507" w:type="dxa"/>
                  <w:tcBorders>
                    <w:top w:val="nil"/>
                    <w:left w:val="nil"/>
                    <w:bottom w:val="nil"/>
                    <w:right w:val="nil"/>
                  </w:tcBorders>
                </w:tcPr>
                <w:p w:rsidR="00AD1DCF" w:rsidRPr="007E3523" w:rsidRDefault="00AD1DCF" w:rsidP="00AD1DCF">
                  <w:pPr>
                    <w:autoSpaceDE w:val="0"/>
                    <w:autoSpaceDN w:val="0"/>
                    <w:adjustRightInd w:val="0"/>
                    <w:spacing w:after="0" w:line="240" w:lineRule="auto"/>
                    <w:jc w:val="both"/>
                    <w:rPr>
                      <w:rFonts w:ascii="Calibri" w:hAnsi="Calibri" w:cs="Calibri"/>
                      <w:b/>
                      <w:bCs/>
                      <w:color w:val="000000"/>
                    </w:rPr>
                  </w:pPr>
                  <w:r w:rsidRPr="007E3523">
                    <w:rPr>
                      <w:rFonts w:ascii="Calibri" w:hAnsi="Calibri" w:cs="Calibri"/>
                      <w:b/>
                      <w:bCs/>
                      <w:color w:val="000000"/>
                    </w:rPr>
                    <w:t>7.-Posición en Moneda extranjera y protección por riesgos cambiarios.</w:t>
                  </w:r>
                </w:p>
                <w:p w:rsidR="00AD1DCF" w:rsidRPr="007E3523" w:rsidRDefault="00AD1DCF" w:rsidP="00AD1DCF">
                  <w:pPr>
                    <w:autoSpaceDE w:val="0"/>
                    <w:autoSpaceDN w:val="0"/>
                    <w:adjustRightInd w:val="0"/>
                    <w:spacing w:after="0" w:line="240" w:lineRule="auto"/>
                    <w:jc w:val="both"/>
                    <w:rPr>
                      <w:rFonts w:ascii="Calibri" w:hAnsi="Calibri" w:cs="Calibri"/>
                      <w:b/>
                      <w:bCs/>
                      <w:color w:val="000000"/>
                    </w:rPr>
                  </w:pPr>
                </w:p>
                <w:p w:rsidR="002E7325" w:rsidRPr="002E7325" w:rsidRDefault="002E7325" w:rsidP="002E7325">
                  <w:pPr>
                    <w:numPr>
                      <w:ilvl w:val="0"/>
                      <w:numId w:val="6"/>
                    </w:numPr>
                    <w:autoSpaceDE w:val="0"/>
                    <w:autoSpaceDN w:val="0"/>
                    <w:adjustRightInd w:val="0"/>
                    <w:spacing w:after="0" w:line="240" w:lineRule="auto"/>
                    <w:contextualSpacing/>
                    <w:jc w:val="both"/>
                    <w:rPr>
                      <w:rFonts w:ascii="Calibri" w:hAnsi="Calibri" w:cs="Calibri"/>
                      <w:color w:val="000000"/>
                    </w:rPr>
                  </w:pPr>
                  <w:r w:rsidRPr="002E7325">
                    <w:rPr>
                      <w:rFonts w:ascii="Calibri" w:hAnsi="Calibri" w:cs="Calibri"/>
                      <w:color w:val="000000"/>
                    </w:rPr>
                    <w:t>Activos en moneda extranjera: El Hogar Cabañas no cuenta con activos en moneda extranjera.</w:t>
                  </w:r>
                </w:p>
                <w:p w:rsidR="002E7325" w:rsidRPr="002E7325" w:rsidRDefault="002E7325" w:rsidP="002E7325">
                  <w:pPr>
                    <w:numPr>
                      <w:ilvl w:val="0"/>
                      <w:numId w:val="6"/>
                    </w:numPr>
                    <w:autoSpaceDE w:val="0"/>
                    <w:autoSpaceDN w:val="0"/>
                    <w:adjustRightInd w:val="0"/>
                    <w:spacing w:after="0" w:line="240" w:lineRule="auto"/>
                    <w:contextualSpacing/>
                    <w:jc w:val="both"/>
                    <w:rPr>
                      <w:rFonts w:ascii="Calibri" w:hAnsi="Calibri" w:cs="Calibri"/>
                      <w:color w:val="000000"/>
                    </w:rPr>
                  </w:pPr>
                  <w:r w:rsidRPr="002E7325">
                    <w:rPr>
                      <w:rFonts w:ascii="Calibri" w:hAnsi="Calibri" w:cs="Calibri"/>
                      <w:color w:val="000000"/>
                    </w:rPr>
                    <w:t>Pasivos en moneda extranjera: Se declara que los pasivos con que cuenta el Hogar Cabañas son en moneda nacional.</w:t>
                  </w:r>
                </w:p>
                <w:p w:rsidR="00561E15" w:rsidRDefault="002E7325" w:rsidP="002E7325">
                  <w:pPr>
                    <w:numPr>
                      <w:ilvl w:val="0"/>
                      <w:numId w:val="6"/>
                    </w:numPr>
                    <w:autoSpaceDE w:val="0"/>
                    <w:autoSpaceDN w:val="0"/>
                    <w:adjustRightInd w:val="0"/>
                    <w:spacing w:after="0" w:line="240" w:lineRule="auto"/>
                    <w:contextualSpacing/>
                    <w:jc w:val="both"/>
                    <w:rPr>
                      <w:rFonts w:ascii="Calibri" w:hAnsi="Calibri" w:cs="Calibri"/>
                      <w:color w:val="000000"/>
                    </w:rPr>
                  </w:pPr>
                  <w:r w:rsidRPr="002E7325">
                    <w:rPr>
                      <w:rFonts w:ascii="Calibri" w:hAnsi="Calibri" w:cs="Calibri"/>
                      <w:color w:val="000000"/>
                    </w:rPr>
                    <w:t xml:space="preserve">Posición en moneda extranjera: Los precios de inversiones y mercancías se </w:t>
                  </w:r>
                </w:p>
                <w:p w:rsidR="002E7325" w:rsidRPr="002E7325" w:rsidRDefault="002E7325" w:rsidP="00561E15">
                  <w:pPr>
                    <w:autoSpaceDE w:val="0"/>
                    <w:autoSpaceDN w:val="0"/>
                    <w:adjustRightInd w:val="0"/>
                    <w:spacing w:after="0" w:line="240" w:lineRule="auto"/>
                    <w:ind w:left="720"/>
                    <w:contextualSpacing/>
                    <w:jc w:val="both"/>
                    <w:rPr>
                      <w:rFonts w:ascii="Calibri" w:hAnsi="Calibri" w:cs="Calibri"/>
                      <w:color w:val="000000"/>
                    </w:rPr>
                  </w:pPr>
                  <w:proofErr w:type="gramStart"/>
                  <w:r w:rsidRPr="002E7325">
                    <w:rPr>
                      <w:rFonts w:ascii="Calibri" w:hAnsi="Calibri" w:cs="Calibri"/>
                      <w:color w:val="000000"/>
                    </w:rPr>
                    <w:t>encuentran</w:t>
                  </w:r>
                  <w:proofErr w:type="gramEnd"/>
                  <w:r w:rsidRPr="002E7325">
                    <w:rPr>
                      <w:rFonts w:ascii="Calibri" w:hAnsi="Calibri" w:cs="Calibri"/>
                      <w:color w:val="000000"/>
                    </w:rPr>
                    <w:t xml:space="preserve">  valorados en moneda nacional.</w:t>
                  </w:r>
                </w:p>
                <w:p w:rsidR="002E7325" w:rsidRPr="002E7325" w:rsidRDefault="002E7325" w:rsidP="002E7325">
                  <w:pPr>
                    <w:numPr>
                      <w:ilvl w:val="0"/>
                      <w:numId w:val="6"/>
                    </w:numPr>
                    <w:autoSpaceDE w:val="0"/>
                    <w:autoSpaceDN w:val="0"/>
                    <w:adjustRightInd w:val="0"/>
                    <w:spacing w:after="0" w:line="240" w:lineRule="auto"/>
                    <w:contextualSpacing/>
                    <w:jc w:val="both"/>
                    <w:rPr>
                      <w:rFonts w:ascii="Calibri" w:hAnsi="Calibri" w:cs="Calibri"/>
                      <w:color w:val="000000"/>
                    </w:rPr>
                  </w:pPr>
                  <w:r w:rsidRPr="002E7325">
                    <w:rPr>
                      <w:rFonts w:ascii="Calibri" w:hAnsi="Calibri" w:cs="Calibri"/>
                      <w:color w:val="000000"/>
                    </w:rPr>
                    <w:t>Tipo de cambio: Al estar valoradas las inversiones y mercancías en moneda nacional, no se ha utilizado ninguno tipo de cambio para su conversión.</w:t>
                  </w:r>
                </w:p>
                <w:p w:rsidR="002E7325" w:rsidRPr="00561E15" w:rsidRDefault="002E7325" w:rsidP="002E7325">
                  <w:pPr>
                    <w:pStyle w:val="Prrafodelista"/>
                    <w:numPr>
                      <w:ilvl w:val="0"/>
                      <w:numId w:val="6"/>
                    </w:numPr>
                    <w:autoSpaceDE w:val="0"/>
                    <w:autoSpaceDN w:val="0"/>
                    <w:adjustRightInd w:val="0"/>
                    <w:spacing w:after="0" w:line="240" w:lineRule="auto"/>
                    <w:jc w:val="both"/>
                    <w:rPr>
                      <w:rFonts w:ascii="Calibri" w:hAnsi="Calibri" w:cs="Calibri"/>
                      <w:b/>
                      <w:bCs/>
                      <w:color w:val="000000"/>
                    </w:rPr>
                  </w:pPr>
                  <w:r w:rsidRPr="007E3523">
                    <w:rPr>
                      <w:rFonts w:ascii="Calibri" w:hAnsi="Calibri" w:cs="Calibri"/>
                      <w:color w:val="000000"/>
                    </w:rPr>
                    <w:t>Equivalente en moneda nacional: No aplica.</w:t>
                  </w:r>
                </w:p>
                <w:p w:rsidR="00561E15" w:rsidRDefault="00561E15" w:rsidP="00561E15">
                  <w:pPr>
                    <w:autoSpaceDE w:val="0"/>
                    <w:autoSpaceDN w:val="0"/>
                    <w:adjustRightInd w:val="0"/>
                    <w:spacing w:after="0" w:line="240" w:lineRule="auto"/>
                    <w:jc w:val="both"/>
                    <w:rPr>
                      <w:rFonts w:ascii="Calibri" w:hAnsi="Calibri" w:cs="Calibri"/>
                      <w:b/>
                      <w:bCs/>
                      <w:color w:val="000000"/>
                    </w:rPr>
                  </w:pPr>
                </w:p>
                <w:p w:rsidR="00561E15" w:rsidRDefault="00561E15" w:rsidP="00561E15">
                  <w:pPr>
                    <w:autoSpaceDE w:val="0"/>
                    <w:autoSpaceDN w:val="0"/>
                    <w:adjustRightInd w:val="0"/>
                    <w:spacing w:after="0" w:line="240" w:lineRule="auto"/>
                    <w:jc w:val="both"/>
                    <w:rPr>
                      <w:rFonts w:ascii="Calibri" w:hAnsi="Calibri" w:cs="Calibri"/>
                      <w:b/>
                      <w:bCs/>
                      <w:color w:val="000000"/>
                    </w:rPr>
                  </w:pPr>
                  <w:r>
                    <w:rPr>
                      <w:rFonts w:ascii="Calibri" w:hAnsi="Calibri" w:cs="Calibri"/>
                      <w:b/>
                      <w:bCs/>
                      <w:color w:val="000000"/>
                    </w:rPr>
                    <w:t>8.- Reporte analítico del activo</w:t>
                  </w:r>
                </w:p>
                <w:p w:rsidR="00561E15" w:rsidRDefault="00561E15" w:rsidP="00561E15">
                  <w:pPr>
                    <w:autoSpaceDE w:val="0"/>
                    <w:autoSpaceDN w:val="0"/>
                    <w:adjustRightInd w:val="0"/>
                    <w:spacing w:after="0" w:line="240" w:lineRule="auto"/>
                    <w:jc w:val="both"/>
                    <w:rPr>
                      <w:rFonts w:ascii="Calibri" w:hAnsi="Calibri" w:cs="Calibri"/>
                      <w:b/>
                      <w:bCs/>
                      <w:color w:val="000000"/>
                    </w:rPr>
                  </w:pPr>
                </w:p>
                <w:p w:rsidR="00561E15" w:rsidRDefault="00561E15" w:rsidP="00561E15">
                  <w:pPr>
                    <w:autoSpaceDE w:val="0"/>
                    <w:autoSpaceDN w:val="0"/>
                    <w:adjustRightInd w:val="0"/>
                    <w:spacing w:after="0" w:line="240" w:lineRule="auto"/>
                    <w:jc w:val="both"/>
                    <w:rPr>
                      <w:rFonts w:ascii="Calibri" w:hAnsi="Calibri" w:cs="Calibri"/>
                      <w:b/>
                      <w:bCs/>
                      <w:color w:val="000000"/>
                    </w:rPr>
                  </w:pPr>
                </w:p>
                <w:p w:rsidR="00561E15" w:rsidRPr="00561E15" w:rsidRDefault="000441E1" w:rsidP="00561E15">
                  <w:pPr>
                    <w:autoSpaceDE w:val="0"/>
                    <w:autoSpaceDN w:val="0"/>
                    <w:adjustRightInd w:val="0"/>
                    <w:spacing w:after="0" w:line="240" w:lineRule="auto"/>
                    <w:jc w:val="both"/>
                    <w:rPr>
                      <w:rFonts w:ascii="Calibri" w:hAnsi="Calibri" w:cs="Calibri"/>
                      <w:b/>
                      <w:bCs/>
                      <w:color w:val="000000"/>
                    </w:rPr>
                  </w:pPr>
                  <w:r>
                    <w:rPr>
                      <w:noProof/>
                      <w:lang w:eastAsia="es-MX"/>
                    </w:rPr>
                    <w:drawing>
                      <wp:inline distT="0" distB="0" distL="0" distR="0" wp14:anchorId="0139939E" wp14:editId="19A74601">
                        <wp:extent cx="5313045" cy="2093595"/>
                        <wp:effectExtent l="0" t="0" r="1905" b="1905"/>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313045" cy="2093595"/>
                                </a:xfrm>
                                <a:prstGeom prst="rect">
                                  <a:avLst/>
                                </a:prstGeom>
                              </pic:spPr>
                            </pic:pic>
                          </a:graphicData>
                        </a:graphic>
                      </wp:inline>
                    </w:drawing>
                  </w:r>
                </w:p>
                <w:p w:rsidR="002E7325" w:rsidRPr="007E3523" w:rsidRDefault="002E7325" w:rsidP="00AD1DCF">
                  <w:pPr>
                    <w:autoSpaceDE w:val="0"/>
                    <w:autoSpaceDN w:val="0"/>
                    <w:adjustRightInd w:val="0"/>
                    <w:spacing w:after="0" w:line="240" w:lineRule="auto"/>
                    <w:jc w:val="both"/>
                    <w:rPr>
                      <w:rFonts w:ascii="Calibri" w:hAnsi="Calibri" w:cs="Calibri"/>
                      <w:b/>
                      <w:bCs/>
                      <w:color w:val="000000"/>
                    </w:rPr>
                  </w:pPr>
                </w:p>
                <w:p w:rsidR="002E7325" w:rsidRPr="007E3523" w:rsidRDefault="002E7325" w:rsidP="00AD1DCF">
                  <w:pPr>
                    <w:autoSpaceDE w:val="0"/>
                    <w:autoSpaceDN w:val="0"/>
                    <w:adjustRightInd w:val="0"/>
                    <w:spacing w:after="0" w:line="240" w:lineRule="auto"/>
                    <w:jc w:val="both"/>
                    <w:rPr>
                      <w:rFonts w:ascii="Calibri" w:hAnsi="Calibri" w:cs="Calibri"/>
                      <w:b/>
                      <w:bCs/>
                      <w:color w:val="000000"/>
                    </w:rPr>
                  </w:pPr>
                </w:p>
                <w:p w:rsidR="002E7325" w:rsidRPr="000441E1" w:rsidRDefault="000441E1" w:rsidP="00AD1DCF">
                  <w:pPr>
                    <w:autoSpaceDE w:val="0"/>
                    <w:autoSpaceDN w:val="0"/>
                    <w:adjustRightInd w:val="0"/>
                    <w:spacing w:after="0" w:line="240" w:lineRule="auto"/>
                    <w:jc w:val="both"/>
                    <w:rPr>
                      <w:rFonts w:ascii="Calibri" w:hAnsi="Calibri" w:cs="Calibri"/>
                      <w:bCs/>
                      <w:color w:val="000000"/>
                    </w:rPr>
                  </w:pPr>
                  <w:r w:rsidRPr="000441E1">
                    <w:rPr>
                      <w:rFonts w:ascii="Calibri" w:hAnsi="Calibri" w:cs="Calibri"/>
                      <w:bCs/>
                      <w:color w:val="000000"/>
                    </w:rPr>
                    <w:t>Los porcentajes de Depreciación y estimación de vida útil fueron realizados de acuerdo al documento de la CONAC Políticas de Depreciación y estimación de vida útil, los cuales fueron tomados de acuerdo al tipo de activo que les correspondiera.</w:t>
                  </w:r>
                </w:p>
                <w:p w:rsidR="00777EBA" w:rsidRDefault="00777EBA" w:rsidP="00AD1DCF">
                  <w:pPr>
                    <w:autoSpaceDE w:val="0"/>
                    <w:autoSpaceDN w:val="0"/>
                    <w:adjustRightInd w:val="0"/>
                    <w:spacing w:after="0" w:line="240" w:lineRule="auto"/>
                    <w:jc w:val="both"/>
                    <w:rPr>
                      <w:rFonts w:ascii="Calibri" w:hAnsi="Calibri" w:cs="Calibri"/>
                      <w:b/>
                      <w:bCs/>
                      <w:color w:val="000000"/>
                    </w:rPr>
                  </w:pPr>
                </w:p>
                <w:p w:rsidR="00561E15" w:rsidRDefault="00561E15" w:rsidP="00AD1DCF">
                  <w:pPr>
                    <w:autoSpaceDE w:val="0"/>
                    <w:autoSpaceDN w:val="0"/>
                    <w:adjustRightInd w:val="0"/>
                    <w:spacing w:after="0" w:line="240" w:lineRule="auto"/>
                    <w:jc w:val="both"/>
                    <w:rPr>
                      <w:rFonts w:ascii="Calibri" w:hAnsi="Calibri" w:cs="Calibri"/>
                      <w:b/>
                      <w:bCs/>
                      <w:color w:val="000000"/>
                    </w:rPr>
                  </w:pPr>
                </w:p>
                <w:p w:rsidR="00561E15" w:rsidRDefault="00561E15" w:rsidP="00AD1DCF">
                  <w:pPr>
                    <w:autoSpaceDE w:val="0"/>
                    <w:autoSpaceDN w:val="0"/>
                    <w:adjustRightInd w:val="0"/>
                    <w:spacing w:after="0" w:line="240" w:lineRule="auto"/>
                    <w:jc w:val="both"/>
                    <w:rPr>
                      <w:rFonts w:ascii="Calibri" w:hAnsi="Calibri" w:cs="Calibri"/>
                      <w:b/>
                      <w:bCs/>
                      <w:color w:val="000000"/>
                    </w:rPr>
                  </w:pPr>
                </w:p>
                <w:tbl>
                  <w:tblPr>
                    <w:tblW w:w="8000" w:type="dxa"/>
                    <w:tblLayout w:type="fixed"/>
                    <w:tblCellMar>
                      <w:left w:w="70" w:type="dxa"/>
                      <w:right w:w="70" w:type="dxa"/>
                    </w:tblCellMar>
                    <w:tblLook w:val="04A0" w:firstRow="1" w:lastRow="0" w:firstColumn="1" w:lastColumn="0" w:noHBand="0" w:noVBand="1"/>
                  </w:tblPr>
                  <w:tblGrid>
                    <w:gridCol w:w="4180"/>
                    <w:gridCol w:w="2000"/>
                    <w:gridCol w:w="1820"/>
                  </w:tblGrid>
                  <w:tr w:rsidR="00561E15" w:rsidRPr="00561E15" w:rsidTr="00561E15">
                    <w:trPr>
                      <w:trHeight w:val="300"/>
                    </w:trPr>
                    <w:tc>
                      <w:tcPr>
                        <w:tcW w:w="418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561E15" w:rsidRPr="00561E15" w:rsidRDefault="00561E15" w:rsidP="00561E15">
                        <w:pPr>
                          <w:spacing w:after="0" w:line="240" w:lineRule="auto"/>
                          <w:jc w:val="center"/>
                          <w:rPr>
                            <w:rFonts w:ascii="Calibri" w:eastAsia="Times New Roman" w:hAnsi="Calibri" w:cs="Calibri"/>
                            <w:b/>
                            <w:bCs/>
                            <w:color w:val="000000"/>
                            <w:lang w:eastAsia="es-MX"/>
                          </w:rPr>
                        </w:pPr>
                        <w:r w:rsidRPr="00561E15">
                          <w:rPr>
                            <w:rFonts w:ascii="Calibri" w:eastAsia="Times New Roman" w:hAnsi="Calibri" w:cs="Calibri"/>
                            <w:b/>
                            <w:bCs/>
                            <w:color w:val="000000"/>
                            <w:lang w:eastAsia="es-MX"/>
                          </w:rPr>
                          <w:t>PRINCIPALES VARIACIONES DEL ACTIVO</w:t>
                        </w:r>
                      </w:p>
                    </w:tc>
                    <w:tc>
                      <w:tcPr>
                        <w:tcW w:w="2000" w:type="dxa"/>
                        <w:tcBorders>
                          <w:top w:val="single" w:sz="4" w:space="0" w:color="auto"/>
                          <w:left w:val="nil"/>
                          <w:bottom w:val="single" w:sz="4" w:space="0" w:color="auto"/>
                          <w:right w:val="single" w:sz="4" w:space="0" w:color="auto"/>
                        </w:tcBorders>
                        <w:shd w:val="clear" w:color="000000" w:fill="D9D9D9"/>
                        <w:noWrap/>
                        <w:vAlign w:val="bottom"/>
                        <w:hideMark/>
                      </w:tcPr>
                      <w:p w:rsidR="00561E15" w:rsidRPr="00561E15" w:rsidRDefault="00561E15" w:rsidP="00561E15">
                        <w:pPr>
                          <w:spacing w:after="0" w:line="240" w:lineRule="auto"/>
                          <w:jc w:val="center"/>
                          <w:rPr>
                            <w:rFonts w:ascii="Calibri" w:eastAsia="Times New Roman" w:hAnsi="Calibri" w:cs="Calibri"/>
                            <w:b/>
                            <w:bCs/>
                            <w:color w:val="000000"/>
                            <w:lang w:eastAsia="es-MX"/>
                          </w:rPr>
                        </w:pPr>
                        <w:r w:rsidRPr="00561E15">
                          <w:rPr>
                            <w:rFonts w:ascii="Calibri" w:eastAsia="Times New Roman" w:hAnsi="Calibri" w:cs="Calibri"/>
                            <w:b/>
                            <w:bCs/>
                            <w:color w:val="000000"/>
                            <w:lang w:eastAsia="es-MX"/>
                          </w:rPr>
                          <w:t>2018</w:t>
                        </w:r>
                      </w:p>
                    </w:tc>
                    <w:tc>
                      <w:tcPr>
                        <w:tcW w:w="1820" w:type="dxa"/>
                        <w:tcBorders>
                          <w:top w:val="single" w:sz="4" w:space="0" w:color="auto"/>
                          <w:left w:val="nil"/>
                          <w:bottom w:val="single" w:sz="4" w:space="0" w:color="auto"/>
                          <w:right w:val="single" w:sz="4" w:space="0" w:color="auto"/>
                        </w:tcBorders>
                        <w:shd w:val="clear" w:color="000000" w:fill="D9D9D9"/>
                        <w:noWrap/>
                        <w:vAlign w:val="bottom"/>
                        <w:hideMark/>
                      </w:tcPr>
                      <w:p w:rsidR="00561E15" w:rsidRPr="00561E15" w:rsidRDefault="00561E15" w:rsidP="00561E15">
                        <w:pPr>
                          <w:spacing w:after="0" w:line="240" w:lineRule="auto"/>
                          <w:jc w:val="center"/>
                          <w:rPr>
                            <w:rFonts w:ascii="Calibri" w:eastAsia="Times New Roman" w:hAnsi="Calibri" w:cs="Calibri"/>
                            <w:b/>
                            <w:bCs/>
                            <w:color w:val="000000"/>
                            <w:lang w:eastAsia="es-MX"/>
                          </w:rPr>
                        </w:pPr>
                        <w:r w:rsidRPr="00561E15">
                          <w:rPr>
                            <w:rFonts w:ascii="Calibri" w:eastAsia="Times New Roman" w:hAnsi="Calibri" w:cs="Calibri"/>
                            <w:b/>
                            <w:bCs/>
                            <w:color w:val="000000"/>
                            <w:lang w:eastAsia="es-MX"/>
                          </w:rPr>
                          <w:t>2017</w:t>
                        </w:r>
                      </w:p>
                    </w:tc>
                  </w:tr>
                  <w:tr w:rsidR="00561E15" w:rsidRPr="00561E15" w:rsidTr="00561E15">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rsidR="00561E15" w:rsidRPr="00561E15" w:rsidRDefault="00561E15" w:rsidP="00561E15">
                        <w:pPr>
                          <w:spacing w:after="0" w:line="240" w:lineRule="auto"/>
                          <w:rPr>
                            <w:rFonts w:ascii="Calibri" w:eastAsia="Times New Roman" w:hAnsi="Calibri" w:cs="Calibri"/>
                            <w:color w:val="000000"/>
                            <w:lang w:eastAsia="es-MX"/>
                          </w:rPr>
                        </w:pPr>
                        <w:r w:rsidRPr="00561E15">
                          <w:rPr>
                            <w:rFonts w:ascii="Calibri" w:eastAsia="Times New Roman" w:hAnsi="Calibri" w:cs="Calibri"/>
                            <w:color w:val="000000"/>
                            <w:lang w:eastAsia="es-MX"/>
                          </w:rPr>
                          <w:t>Inversiones en valores</w:t>
                        </w:r>
                      </w:p>
                    </w:tc>
                    <w:tc>
                      <w:tcPr>
                        <w:tcW w:w="2000" w:type="dxa"/>
                        <w:tcBorders>
                          <w:top w:val="nil"/>
                          <w:left w:val="nil"/>
                          <w:bottom w:val="single" w:sz="4" w:space="0" w:color="auto"/>
                          <w:right w:val="single" w:sz="4" w:space="0" w:color="auto"/>
                        </w:tcBorders>
                        <w:shd w:val="clear" w:color="auto" w:fill="auto"/>
                        <w:noWrap/>
                        <w:vAlign w:val="bottom"/>
                        <w:hideMark/>
                      </w:tcPr>
                      <w:p w:rsidR="00561E15" w:rsidRPr="00561E15" w:rsidRDefault="00561E15" w:rsidP="00561E15">
                        <w:pPr>
                          <w:spacing w:after="0" w:line="240" w:lineRule="auto"/>
                          <w:rPr>
                            <w:rFonts w:ascii="Calibri" w:eastAsia="Times New Roman" w:hAnsi="Calibri" w:cs="Calibri"/>
                            <w:color w:val="000000"/>
                            <w:lang w:eastAsia="es-MX"/>
                          </w:rPr>
                        </w:pPr>
                        <w:r w:rsidRPr="00561E15">
                          <w:rPr>
                            <w:rFonts w:ascii="Calibri" w:eastAsia="Times New Roman" w:hAnsi="Calibri" w:cs="Calibri"/>
                            <w:color w:val="000000"/>
                            <w:lang w:eastAsia="es-MX"/>
                          </w:rPr>
                          <w:t> </w:t>
                        </w:r>
                      </w:p>
                    </w:tc>
                    <w:tc>
                      <w:tcPr>
                        <w:tcW w:w="1820" w:type="dxa"/>
                        <w:tcBorders>
                          <w:top w:val="nil"/>
                          <w:left w:val="nil"/>
                          <w:bottom w:val="single" w:sz="4" w:space="0" w:color="auto"/>
                          <w:right w:val="single" w:sz="4" w:space="0" w:color="auto"/>
                        </w:tcBorders>
                        <w:shd w:val="clear" w:color="auto" w:fill="auto"/>
                        <w:noWrap/>
                        <w:vAlign w:val="bottom"/>
                        <w:hideMark/>
                      </w:tcPr>
                      <w:p w:rsidR="00561E15" w:rsidRPr="00561E15" w:rsidRDefault="00561E15" w:rsidP="00561E15">
                        <w:pPr>
                          <w:spacing w:after="0" w:line="240" w:lineRule="auto"/>
                          <w:rPr>
                            <w:rFonts w:ascii="Calibri" w:eastAsia="Times New Roman" w:hAnsi="Calibri" w:cs="Calibri"/>
                            <w:color w:val="000000"/>
                            <w:lang w:eastAsia="es-MX"/>
                          </w:rPr>
                        </w:pPr>
                        <w:r w:rsidRPr="00561E15">
                          <w:rPr>
                            <w:rFonts w:ascii="Calibri" w:eastAsia="Times New Roman" w:hAnsi="Calibri" w:cs="Calibri"/>
                            <w:color w:val="000000"/>
                            <w:lang w:eastAsia="es-MX"/>
                          </w:rPr>
                          <w:t> </w:t>
                        </w:r>
                      </w:p>
                    </w:tc>
                  </w:tr>
                  <w:tr w:rsidR="00561E15" w:rsidRPr="00561E15" w:rsidTr="00561E15">
                    <w:trPr>
                      <w:trHeight w:val="630"/>
                    </w:trPr>
                    <w:tc>
                      <w:tcPr>
                        <w:tcW w:w="4180" w:type="dxa"/>
                        <w:tcBorders>
                          <w:top w:val="nil"/>
                          <w:left w:val="single" w:sz="4" w:space="0" w:color="auto"/>
                          <w:bottom w:val="single" w:sz="4" w:space="0" w:color="auto"/>
                          <w:right w:val="single" w:sz="4" w:space="0" w:color="auto"/>
                        </w:tcBorders>
                        <w:shd w:val="clear" w:color="auto" w:fill="auto"/>
                        <w:vAlign w:val="bottom"/>
                        <w:hideMark/>
                      </w:tcPr>
                      <w:p w:rsidR="00561E15" w:rsidRPr="00561E15" w:rsidRDefault="00561E15" w:rsidP="00561E15">
                        <w:pPr>
                          <w:spacing w:after="0" w:line="240" w:lineRule="auto"/>
                          <w:rPr>
                            <w:rFonts w:ascii="Calibri" w:eastAsia="Times New Roman" w:hAnsi="Calibri" w:cs="Calibri"/>
                            <w:color w:val="000000"/>
                            <w:lang w:eastAsia="es-MX"/>
                          </w:rPr>
                        </w:pPr>
                        <w:r w:rsidRPr="00561E15">
                          <w:rPr>
                            <w:rFonts w:ascii="Calibri" w:eastAsia="Times New Roman" w:hAnsi="Calibri" w:cs="Calibri"/>
                            <w:color w:val="000000"/>
                            <w:lang w:eastAsia="es-MX"/>
                          </w:rPr>
                          <w:t>Banco Banorte S.A. Cta. 0501325828 Inversión excedentes Subsidio Estatal Nómina.</w:t>
                        </w:r>
                      </w:p>
                    </w:tc>
                    <w:tc>
                      <w:tcPr>
                        <w:tcW w:w="2000" w:type="dxa"/>
                        <w:tcBorders>
                          <w:top w:val="nil"/>
                          <w:left w:val="nil"/>
                          <w:bottom w:val="single" w:sz="4" w:space="0" w:color="auto"/>
                          <w:right w:val="single" w:sz="4" w:space="0" w:color="auto"/>
                        </w:tcBorders>
                        <w:shd w:val="clear" w:color="auto" w:fill="auto"/>
                        <w:noWrap/>
                        <w:vAlign w:val="bottom"/>
                        <w:hideMark/>
                      </w:tcPr>
                      <w:p w:rsidR="00561E15" w:rsidRPr="00561E15" w:rsidRDefault="000441E1" w:rsidP="00561E15">
                        <w:pPr>
                          <w:spacing w:after="0" w:line="240" w:lineRule="auto"/>
                          <w:rPr>
                            <w:rFonts w:ascii="Calibri" w:eastAsia="Times New Roman" w:hAnsi="Calibri" w:cs="Calibri"/>
                            <w:color w:val="000000"/>
                            <w:lang w:eastAsia="es-MX"/>
                          </w:rPr>
                        </w:pPr>
                        <w:r>
                          <w:rPr>
                            <w:rFonts w:ascii="Calibri" w:eastAsia="Times New Roman" w:hAnsi="Calibri" w:cs="Calibri"/>
                            <w:color w:val="000000"/>
                            <w:lang w:eastAsia="es-MX"/>
                          </w:rPr>
                          <w:t xml:space="preserve">                                 0</w:t>
                        </w:r>
                      </w:p>
                    </w:tc>
                    <w:tc>
                      <w:tcPr>
                        <w:tcW w:w="1820" w:type="dxa"/>
                        <w:tcBorders>
                          <w:top w:val="nil"/>
                          <w:left w:val="nil"/>
                          <w:bottom w:val="single" w:sz="4" w:space="0" w:color="auto"/>
                          <w:right w:val="single" w:sz="4" w:space="0" w:color="auto"/>
                        </w:tcBorders>
                        <w:shd w:val="clear" w:color="000000" w:fill="FFFFFF"/>
                        <w:noWrap/>
                        <w:vAlign w:val="bottom"/>
                        <w:hideMark/>
                      </w:tcPr>
                      <w:p w:rsidR="00561E15" w:rsidRPr="00561E15" w:rsidRDefault="00561E15" w:rsidP="000441E1">
                        <w:pPr>
                          <w:spacing w:after="0" w:line="240" w:lineRule="auto"/>
                          <w:rPr>
                            <w:rFonts w:ascii="Calibri" w:eastAsia="Times New Roman" w:hAnsi="Calibri" w:cs="Calibri"/>
                            <w:color w:val="000000"/>
                            <w:lang w:eastAsia="es-MX"/>
                          </w:rPr>
                        </w:pPr>
                        <w:r w:rsidRPr="00561E15">
                          <w:rPr>
                            <w:rFonts w:ascii="Calibri" w:eastAsia="Times New Roman" w:hAnsi="Calibri" w:cs="Calibri"/>
                            <w:color w:val="000000"/>
                            <w:lang w:eastAsia="es-MX"/>
                          </w:rPr>
                          <w:t xml:space="preserve">        </w:t>
                        </w:r>
                        <w:r w:rsidR="000441E1">
                          <w:rPr>
                            <w:rFonts w:ascii="Calibri" w:eastAsia="Times New Roman" w:hAnsi="Calibri" w:cs="Calibri"/>
                            <w:color w:val="000000"/>
                            <w:lang w:eastAsia="es-MX"/>
                          </w:rPr>
                          <w:t xml:space="preserve">    </w:t>
                        </w:r>
                        <w:r w:rsidR="006F057B">
                          <w:rPr>
                            <w:rFonts w:ascii="Calibri" w:eastAsia="Times New Roman" w:hAnsi="Calibri" w:cs="Calibri"/>
                            <w:color w:val="000000"/>
                            <w:lang w:eastAsia="es-MX"/>
                          </w:rPr>
                          <w:t xml:space="preserve">   </w:t>
                        </w:r>
                        <w:r w:rsidRPr="00561E15">
                          <w:rPr>
                            <w:rFonts w:ascii="Calibri" w:eastAsia="Times New Roman" w:hAnsi="Calibri" w:cs="Calibri"/>
                            <w:color w:val="000000"/>
                            <w:lang w:eastAsia="es-MX"/>
                          </w:rPr>
                          <w:t xml:space="preserve">1,401,379.42 </w:t>
                        </w:r>
                      </w:p>
                    </w:tc>
                  </w:tr>
                  <w:tr w:rsidR="00561E15" w:rsidRPr="00561E15" w:rsidTr="00561E15">
                    <w:trPr>
                      <w:trHeight w:val="600"/>
                    </w:trPr>
                    <w:tc>
                      <w:tcPr>
                        <w:tcW w:w="4180" w:type="dxa"/>
                        <w:tcBorders>
                          <w:top w:val="nil"/>
                          <w:left w:val="single" w:sz="4" w:space="0" w:color="auto"/>
                          <w:bottom w:val="single" w:sz="4" w:space="0" w:color="auto"/>
                          <w:right w:val="single" w:sz="4" w:space="0" w:color="auto"/>
                        </w:tcBorders>
                        <w:shd w:val="clear" w:color="auto" w:fill="auto"/>
                        <w:vAlign w:val="bottom"/>
                        <w:hideMark/>
                      </w:tcPr>
                      <w:p w:rsidR="00561E15" w:rsidRPr="00561E15" w:rsidRDefault="00561E15" w:rsidP="00561E15">
                        <w:pPr>
                          <w:spacing w:after="0" w:line="240" w:lineRule="auto"/>
                          <w:rPr>
                            <w:rFonts w:ascii="Calibri" w:eastAsia="Times New Roman" w:hAnsi="Calibri" w:cs="Calibri"/>
                            <w:color w:val="000000"/>
                            <w:lang w:eastAsia="es-MX"/>
                          </w:rPr>
                        </w:pPr>
                        <w:r w:rsidRPr="00561E15">
                          <w:rPr>
                            <w:rFonts w:ascii="Calibri" w:eastAsia="Times New Roman" w:hAnsi="Calibri" w:cs="Calibri"/>
                            <w:color w:val="000000"/>
                            <w:lang w:eastAsia="es-MX"/>
                          </w:rPr>
                          <w:t>Banco Banorte S.A. Cta. 0501325792 Inversión excedentes gastos</w:t>
                        </w:r>
                        <w:r w:rsidR="000441E1">
                          <w:rPr>
                            <w:rFonts w:ascii="Calibri" w:eastAsia="Times New Roman" w:hAnsi="Calibri" w:cs="Calibri"/>
                            <w:color w:val="000000"/>
                            <w:lang w:eastAsia="es-MX"/>
                          </w:rPr>
                          <w:t xml:space="preserve"> en</w:t>
                        </w:r>
                        <w:r w:rsidRPr="00561E15">
                          <w:rPr>
                            <w:rFonts w:ascii="Calibri" w:eastAsia="Times New Roman" w:hAnsi="Calibri" w:cs="Calibri"/>
                            <w:color w:val="000000"/>
                            <w:lang w:eastAsia="es-MX"/>
                          </w:rPr>
                          <w:t xml:space="preserve"> </w:t>
                        </w:r>
                        <w:proofErr w:type="spellStart"/>
                        <w:r w:rsidRPr="00561E15">
                          <w:rPr>
                            <w:rFonts w:ascii="Calibri" w:eastAsia="Times New Roman" w:hAnsi="Calibri" w:cs="Calibri"/>
                            <w:color w:val="000000"/>
                            <w:lang w:eastAsia="es-MX"/>
                          </w:rPr>
                          <w:t>gral.</w:t>
                        </w:r>
                        <w:proofErr w:type="spellEnd"/>
                      </w:p>
                    </w:tc>
                    <w:tc>
                      <w:tcPr>
                        <w:tcW w:w="2000" w:type="dxa"/>
                        <w:tcBorders>
                          <w:top w:val="nil"/>
                          <w:left w:val="nil"/>
                          <w:bottom w:val="single" w:sz="4" w:space="0" w:color="auto"/>
                          <w:right w:val="single" w:sz="4" w:space="0" w:color="auto"/>
                        </w:tcBorders>
                        <w:shd w:val="clear" w:color="auto" w:fill="auto"/>
                        <w:noWrap/>
                        <w:vAlign w:val="bottom"/>
                        <w:hideMark/>
                      </w:tcPr>
                      <w:p w:rsidR="00561E15" w:rsidRPr="00561E15" w:rsidRDefault="00561E15" w:rsidP="00561E15">
                        <w:pPr>
                          <w:spacing w:after="0" w:line="240" w:lineRule="auto"/>
                          <w:jc w:val="right"/>
                          <w:rPr>
                            <w:rFonts w:ascii="Calibri" w:eastAsia="Times New Roman" w:hAnsi="Calibri" w:cs="Calibri"/>
                            <w:color w:val="000000"/>
                            <w:lang w:eastAsia="es-MX"/>
                          </w:rPr>
                        </w:pPr>
                        <w:r w:rsidRPr="00561E15">
                          <w:rPr>
                            <w:rFonts w:ascii="Calibri" w:eastAsia="Times New Roman" w:hAnsi="Calibri" w:cs="Calibri"/>
                            <w:color w:val="000000"/>
                            <w:lang w:eastAsia="es-MX"/>
                          </w:rPr>
                          <w:t>12,895,282.73</w:t>
                        </w:r>
                      </w:p>
                    </w:tc>
                    <w:tc>
                      <w:tcPr>
                        <w:tcW w:w="1820" w:type="dxa"/>
                        <w:tcBorders>
                          <w:top w:val="nil"/>
                          <w:left w:val="nil"/>
                          <w:bottom w:val="single" w:sz="4" w:space="0" w:color="auto"/>
                          <w:right w:val="single" w:sz="4" w:space="0" w:color="auto"/>
                        </w:tcBorders>
                        <w:shd w:val="clear" w:color="000000" w:fill="FFFFFF"/>
                        <w:noWrap/>
                        <w:vAlign w:val="bottom"/>
                        <w:hideMark/>
                      </w:tcPr>
                      <w:p w:rsidR="00561E15" w:rsidRPr="00561E15" w:rsidRDefault="00561E15" w:rsidP="00561E15">
                        <w:pPr>
                          <w:spacing w:after="0" w:line="240" w:lineRule="auto"/>
                          <w:jc w:val="right"/>
                          <w:rPr>
                            <w:rFonts w:ascii="Calibri" w:eastAsia="Times New Roman" w:hAnsi="Calibri" w:cs="Calibri"/>
                            <w:color w:val="000000"/>
                            <w:lang w:eastAsia="es-MX"/>
                          </w:rPr>
                        </w:pPr>
                        <w:r w:rsidRPr="00561E15">
                          <w:rPr>
                            <w:rFonts w:ascii="Calibri" w:eastAsia="Times New Roman" w:hAnsi="Calibri" w:cs="Calibri"/>
                            <w:color w:val="000000"/>
                            <w:lang w:eastAsia="es-MX"/>
                          </w:rPr>
                          <w:t>34,048,053.85</w:t>
                        </w:r>
                      </w:p>
                    </w:tc>
                  </w:tr>
                </w:tbl>
                <w:p w:rsidR="00561E15" w:rsidRPr="007E3523" w:rsidRDefault="00561E15" w:rsidP="00AD1DCF">
                  <w:pPr>
                    <w:autoSpaceDE w:val="0"/>
                    <w:autoSpaceDN w:val="0"/>
                    <w:adjustRightInd w:val="0"/>
                    <w:spacing w:after="0" w:line="240" w:lineRule="auto"/>
                    <w:jc w:val="both"/>
                    <w:rPr>
                      <w:rFonts w:ascii="Calibri" w:hAnsi="Calibri" w:cs="Calibri"/>
                      <w:b/>
                      <w:bCs/>
                      <w:color w:val="000000"/>
                    </w:rPr>
                  </w:pPr>
                </w:p>
                <w:p w:rsidR="002E7325" w:rsidRPr="000441E1" w:rsidRDefault="000441E1" w:rsidP="00AD1DCF">
                  <w:pPr>
                    <w:autoSpaceDE w:val="0"/>
                    <w:autoSpaceDN w:val="0"/>
                    <w:adjustRightInd w:val="0"/>
                    <w:spacing w:after="0" w:line="240" w:lineRule="auto"/>
                    <w:jc w:val="both"/>
                    <w:rPr>
                      <w:rFonts w:ascii="Calibri" w:hAnsi="Calibri" w:cs="Calibri"/>
                      <w:bCs/>
                      <w:color w:val="000000"/>
                    </w:rPr>
                  </w:pPr>
                  <w:r w:rsidRPr="000441E1">
                    <w:rPr>
                      <w:rFonts w:ascii="Calibri" w:hAnsi="Calibri" w:cs="Calibri"/>
                      <w:bCs/>
                      <w:color w:val="000000"/>
                    </w:rPr>
                    <w:t>Las variaciones en las cuentas de inversión se derivaron de la aplicación de los recursos para la ejecución de proyectos estratégicos y gastos derivados a ellos.</w:t>
                  </w:r>
                </w:p>
                <w:p w:rsidR="000441E1" w:rsidRPr="007E3523" w:rsidRDefault="000441E1" w:rsidP="00AD1DCF">
                  <w:pPr>
                    <w:autoSpaceDE w:val="0"/>
                    <w:autoSpaceDN w:val="0"/>
                    <w:adjustRightInd w:val="0"/>
                    <w:spacing w:after="0" w:line="240" w:lineRule="auto"/>
                    <w:jc w:val="both"/>
                    <w:rPr>
                      <w:rFonts w:ascii="Calibri" w:hAnsi="Calibri" w:cs="Calibri"/>
                      <w:b/>
                      <w:bCs/>
                      <w:color w:val="000000"/>
                    </w:rPr>
                  </w:pPr>
                </w:p>
                <w:p w:rsidR="002E7325" w:rsidRPr="007E3523" w:rsidRDefault="002E7325" w:rsidP="00AD1DCF">
                  <w:pPr>
                    <w:autoSpaceDE w:val="0"/>
                    <w:autoSpaceDN w:val="0"/>
                    <w:adjustRightInd w:val="0"/>
                    <w:spacing w:after="0" w:line="240" w:lineRule="auto"/>
                    <w:jc w:val="both"/>
                    <w:rPr>
                      <w:rFonts w:ascii="Calibri" w:hAnsi="Calibri" w:cs="Calibri"/>
                      <w:b/>
                      <w:bCs/>
                      <w:color w:val="000000"/>
                    </w:rPr>
                  </w:pPr>
                </w:p>
              </w:tc>
            </w:tr>
            <w:tr w:rsidR="002E7325" w:rsidRPr="007E3523" w:rsidTr="00777EBA">
              <w:trPr>
                <w:trHeight w:val="290"/>
              </w:trPr>
              <w:tc>
                <w:tcPr>
                  <w:tcW w:w="8507" w:type="dxa"/>
                  <w:tcBorders>
                    <w:top w:val="nil"/>
                    <w:left w:val="nil"/>
                    <w:bottom w:val="nil"/>
                    <w:right w:val="nil"/>
                  </w:tcBorders>
                </w:tcPr>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2E7325" w:rsidRPr="007E3523" w:rsidRDefault="002E7325" w:rsidP="002E7325">
                  <w:pPr>
                    <w:autoSpaceDE w:val="0"/>
                    <w:autoSpaceDN w:val="0"/>
                    <w:adjustRightInd w:val="0"/>
                    <w:spacing w:after="0" w:line="240" w:lineRule="auto"/>
                    <w:rPr>
                      <w:rFonts w:ascii="Calibri" w:hAnsi="Calibri" w:cs="Calibri"/>
                      <w:b/>
                      <w:bCs/>
                      <w:color w:val="000000"/>
                    </w:rPr>
                  </w:pPr>
                  <w:r w:rsidRPr="007E3523">
                    <w:rPr>
                      <w:rFonts w:ascii="Calibri" w:hAnsi="Calibri" w:cs="Calibri"/>
                      <w:b/>
                      <w:bCs/>
                      <w:color w:val="000000"/>
                    </w:rPr>
                    <w:lastRenderedPageBreak/>
                    <w:t>9.- Fideicomisos, mandatos y análogos</w:t>
                  </w: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r>
            <w:tr w:rsidR="002E7325" w:rsidRPr="007E3523" w:rsidTr="00777EBA">
              <w:trPr>
                <w:trHeight w:val="290"/>
              </w:trPr>
              <w:tc>
                <w:tcPr>
                  <w:tcW w:w="8507" w:type="dxa"/>
                  <w:tcBorders>
                    <w:top w:val="nil"/>
                    <w:left w:val="nil"/>
                    <w:bottom w:val="nil"/>
                    <w:right w:val="nil"/>
                  </w:tcBorders>
                </w:tcPr>
                <w:p w:rsidR="007E3523" w:rsidRPr="007E3523" w:rsidRDefault="002E7325" w:rsidP="007A616A">
                  <w:pPr>
                    <w:autoSpaceDE w:val="0"/>
                    <w:autoSpaceDN w:val="0"/>
                    <w:adjustRightInd w:val="0"/>
                    <w:spacing w:after="0" w:line="240" w:lineRule="auto"/>
                    <w:jc w:val="both"/>
                    <w:rPr>
                      <w:rFonts w:ascii="Calibri" w:hAnsi="Calibri" w:cs="Calibri"/>
                      <w:color w:val="000000"/>
                    </w:rPr>
                  </w:pPr>
                  <w:r w:rsidRPr="007E3523">
                    <w:rPr>
                      <w:rFonts w:ascii="Calibri" w:hAnsi="Calibri" w:cs="Calibri"/>
                      <w:color w:val="000000"/>
                    </w:rPr>
                    <w:t>El Hogar Cabañas no cuenta con Fideicomisos, mandatos o algún contrato legal que implique relevancia a estas notas.</w:t>
                  </w: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r>
            <w:tr w:rsidR="002E7325" w:rsidRPr="007E3523" w:rsidTr="00777EBA">
              <w:trPr>
                <w:trHeight w:val="290"/>
              </w:trPr>
              <w:tc>
                <w:tcPr>
                  <w:tcW w:w="8507" w:type="dxa"/>
                  <w:tcBorders>
                    <w:top w:val="nil"/>
                    <w:left w:val="nil"/>
                    <w:bottom w:val="nil"/>
                    <w:right w:val="nil"/>
                  </w:tcBorders>
                </w:tcPr>
                <w:p w:rsidR="002E7325" w:rsidRPr="007E3523" w:rsidRDefault="002E7325" w:rsidP="002E7325">
                  <w:pPr>
                    <w:autoSpaceDE w:val="0"/>
                    <w:autoSpaceDN w:val="0"/>
                    <w:adjustRightInd w:val="0"/>
                    <w:spacing w:after="0" w:line="240" w:lineRule="auto"/>
                    <w:jc w:val="right"/>
                    <w:rPr>
                      <w:rFonts w:ascii="Calibri" w:hAnsi="Calibri" w:cs="Calibri"/>
                      <w:b/>
                      <w:bCs/>
                      <w:color w:val="000000"/>
                    </w:rPr>
                  </w:pP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r>
            <w:tr w:rsidR="002E7325" w:rsidRPr="007E3523" w:rsidTr="00777EBA">
              <w:trPr>
                <w:trHeight w:val="290"/>
              </w:trPr>
              <w:tc>
                <w:tcPr>
                  <w:tcW w:w="8507" w:type="dxa"/>
                  <w:tcBorders>
                    <w:top w:val="nil"/>
                    <w:left w:val="nil"/>
                    <w:bottom w:val="nil"/>
                    <w:right w:val="nil"/>
                  </w:tcBorders>
                </w:tcPr>
                <w:p w:rsidR="002E7325" w:rsidRPr="007E3523" w:rsidRDefault="002E7325" w:rsidP="002E7325">
                  <w:pPr>
                    <w:autoSpaceDE w:val="0"/>
                    <w:autoSpaceDN w:val="0"/>
                    <w:adjustRightInd w:val="0"/>
                    <w:spacing w:after="0" w:line="240" w:lineRule="auto"/>
                    <w:rPr>
                      <w:rFonts w:ascii="Calibri" w:hAnsi="Calibri" w:cs="Calibri"/>
                      <w:b/>
                      <w:bCs/>
                      <w:color w:val="000000"/>
                    </w:rPr>
                  </w:pP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r>
            <w:tr w:rsidR="007E3523" w:rsidRPr="007E3523" w:rsidTr="00777EBA">
              <w:trPr>
                <w:trHeight w:val="290"/>
              </w:trPr>
              <w:tc>
                <w:tcPr>
                  <w:tcW w:w="8507" w:type="dxa"/>
                  <w:tcBorders>
                    <w:top w:val="nil"/>
                    <w:left w:val="nil"/>
                    <w:bottom w:val="nil"/>
                    <w:right w:val="nil"/>
                  </w:tcBorders>
                </w:tcPr>
                <w:p w:rsidR="00343639" w:rsidRDefault="00343639" w:rsidP="007E3523">
                  <w:pPr>
                    <w:autoSpaceDE w:val="0"/>
                    <w:autoSpaceDN w:val="0"/>
                    <w:adjustRightInd w:val="0"/>
                    <w:spacing w:after="0" w:line="240" w:lineRule="auto"/>
                    <w:rPr>
                      <w:rFonts w:ascii="Calibri" w:hAnsi="Calibri" w:cs="Calibri"/>
                      <w:b/>
                      <w:bCs/>
                      <w:color w:val="000000"/>
                    </w:rPr>
                  </w:pPr>
                </w:p>
                <w:p w:rsidR="00343639" w:rsidRDefault="00343639" w:rsidP="007E3523">
                  <w:pPr>
                    <w:autoSpaceDE w:val="0"/>
                    <w:autoSpaceDN w:val="0"/>
                    <w:adjustRightInd w:val="0"/>
                    <w:spacing w:after="0" w:line="240" w:lineRule="auto"/>
                    <w:rPr>
                      <w:rFonts w:ascii="Calibri" w:hAnsi="Calibri" w:cs="Calibri"/>
                      <w:b/>
                      <w:bCs/>
                      <w:color w:val="000000"/>
                    </w:rPr>
                  </w:pPr>
                </w:p>
                <w:p w:rsidR="00343639" w:rsidRDefault="00343639" w:rsidP="007E3523">
                  <w:pPr>
                    <w:autoSpaceDE w:val="0"/>
                    <w:autoSpaceDN w:val="0"/>
                    <w:adjustRightInd w:val="0"/>
                    <w:spacing w:after="0" w:line="240" w:lineRule="auto"/>
                    <w:rPr>
                      <w:rFonts w:ascii="Calibri" w:hAnsi="Calibri" w:cs="Calibri"/>
                      <w:b/>
                      <w:bCs/>
                      <w:color w:val="000000"/>
                    </w:rPr>
                  </w:pPr>
                </w:p>
                <w:p w:rsidR="00343639" w:rsidRDefault="00343639" w:rsidP="007E3523">
                  <w:pPr>
                    <w:autoSpaceDE w:val="0"/>
                    <w:autoSpaceDN w:val="0"/>
                    <w:adjustRightInd w:val="0"/>
                    <w:spacing w:after="0" w:line="240" w:lineRule="auto"/>
                    <w:rPr>
                      <w:rFonts w:ascii="Calibri" w:hAnsi="Calibri" w:cs="Calibri"/>
                      <w:b/>
                      <w:bCs/>
                      <w:color w:val="000000"/>
                    </w:rPr>
                  </w:pPr>
                </w:p>
                <w:p w:rsidR="00343639" w:rsidRDefault="00343639" w:rsidP="007E3523">
                  <w:pPr>
                    <w:autoSpaceDE w:val="0"/>
                    <w:autoSpaceDN w:val="0"/>
                    <w:adjustRightInd w:val="0"/>
                    <w:spacing w:after="0" w:line="240" w:lineRule="auto"/>
                    <w:rPr>
                      <w:rFonts w:ascii="Calibri" w:hAnsi="Calibri" w:cs="Calibri"/>
                      <w:b/>
                      <w:bCs/>
                      <w:color w:val="000000"/>
                    </w:rPr>
                  </w:pPr>
                </w:p>
                <w:p w:rsidR="007E3523" w:rsidRDefault="007E3523" w:rsidP="007E3523">
                  <w:pPr>
                    <w:autoSpaceDE w:val="0"/>
                    <w:autoSpaceDN w:val="0"/>
                    <w:adjustRightInd w:val="0"/>
                    <w:spacing w:after="0" w:line="240" w:lineRule="auto"/>
                    <w:rPr>
                      <w:rFonts w:ascii="Calibri" w:hAnsi="Calibri" w:cs="Calibri"/>
                      <w:b/>
                      <w:bCs/>
                      <w:color w:val="000000"/>
                    </w:rPr>
                  </w:pPr>
                  <w:r w:rsidRPr="007E3523">
                    <w:rPr>
                      <w:rFonts w:ascii="Calibri" w:hAnsi="Calibri" w:cs="Calibri"/>
                      <w:b/>
                      <w:bCs/>
                      <w:color w:val="000000"/>
                    </w:rPr>
                    <w:t>10.-Reporte de la recaudación</w:t>
                  </w:r>
                  <w:r w:rsidR="00343639">
                    <w:rPr>
                      <w:rFonts w:ascii="Calibri" w:hAnsi="Calibri" w:cs="Calibri"/>
                      <w:b/>
                      <w:bCs/>
                      <w:color w:val="000000"/>
                    </w:rPr>
                    <w:t>.</w:t>
                  </w:r>
                </w:p>
                <w:p w:rsidR="00343639" w:rsidRPr="007E3523" w:rsidRDefault="00343639" w:rsidP="007E3523">
                  <w:pPr>
                    <w:autoSpaceDE w:val="0"/>
                    <w:autoSpaceDN w:val="0"/>
                    <w:adjustRightInd w:val="0"/>
                    <w:spacing w:after="0" w:line="240" w:lineRule="auto"/>
                    <w:rPr>
                      <w:rFonts w:ascii="Calibri" w:hAnsi="Calibri" w:cs="Calibri"/>
                      <w:b/>
                      <w:bCs/>
                      <w:color w:val="000000"/>
                    </w:rPr>
                  </w:pPr>
                </w:p>
              </w:tc>
              <w:tc>
                <w:tcPr>
                  <w:tcW w:w="2949" w:type="dxa"/>
                </w:tcPr>
                <w:p w:rsidR="007E3523" w:rsidRPr="007E3523" w:rsidRDefault="007E3523" w:rsidP="007E3523">
                  <w:pPr>
                    <w:autoSpaceDE w:val="0"/>
                    <w:autoSpaceDN w:val="0"/>
                    <w:adjustRightInd w:val="0"/>
                    <w:spacing w:after="0" w:line="240" w:lineRule="auto"/>
                    <w:jc w:val="right"/>
                    <w:rPr>
                      <w:rFonts w:ascii="Calibri" w:hAnsi="Calibri" w:cs="Calibri"/>
                      <w:color w:val="000000"/>
                    </w:rPr>
                  </w:pPr>
                </w:p>
              </w:tc>
              <w:tc>
                <w:tcPr>
                  <w:tcW w:w="2949" w:type="dxa"/>
                </w:tcPr>
                <w:p w:rsidR="007E3523" w:rsidRPr="007E3523" w:rsidRDefault="007E3523" w:rsidP="007E3523">
                  <w:pPr>
                    <w:autoSpaceDE w:val="0"/>
                    <w:autoSpaceDN w:val="0"/>
                    <w:adjustRightInd w:val="0"/>
                    <w:spacing w:after="0" w:line="240" w:lineRule="auto"/>
                    <w:jc w:val="right"/>
                    <w:rPr>
                      <w:rFonts w:ascii="Calibri" w:hAnsi="Calibri" w:cs="Calibri"/>
                      <w:color w:val="000000"/>
                    </w:rPr>
                  </w:pPr>
                </w:p>
              </w:tc>
            </w:tr>
            <w:tr w:rsidR="007E3523" w:rsidRPr="007E3523" w:rsidTr="00777EBA">
              <w:trPr>
                <w:trHeight w:val="290"/>
              </w:trPr>
              <w:tc>
                <w:tcPr>
                  <w:tcW w:w="8507" w:type="dxa"/>
                  <w:tcBorders>
                    <w:top w:val="nil"/>
                    <w:left w:val="nil"/>
                    <w:bottom w:val="nil"/>
                    <w:right w:val="nil"/>
                  </w:tcBorders>
                </w:tcPr>
                <w:p w:rsidR="00777EBA" w:rsidRDefault="007E3523" w:rsidP="007E3523">
                  <w:pPr>
                    <w:autoSpaceDE w:val="0"/>
                    <w:autoSpaceDN w:val="0"/>
                    <w:adjustRightInd w:val="0"/>
                    <w:spacing w:after="0" w:line="240" w:lineRule="auto"/>
                    <w:jc w:val="both"/>
                    <w:rPr>
                      <w:rFonts w:ascii="Calibri" w:hAnsi="Calibri" w:cs="Calibri"/>
                      <w:color w:val="000000"/>
                    </w:rPr>
                  </w:pPr>
                  <w:r w:rsidRPr="007E3523">
                    <w:rPr>
                      <w:rFonts w:ascii="Calibri" w:hAnsi="Calibri" w:cs="Calibri"/>
                      <w:color w:val="000000"/>
                    </w:rPr>
                    <w:t>El Hogar Cabañas le fue autorizado como Subsidio Estatal para el ejercicio 2018, la cantidad de $48</w:t>
                  </w:r>
                  <w:r w:rsidR="00777EBA">
                    <w:rPr>
                      <w:rFonts w:ascii="Calibri" w:hAnsi="Calibri" w:cs="Calibri"/>
                      <w:color w:val="000000"/>
                    </w:rPr>
                    <w:t>’</w:t>
                  </w:r>
                  <w:r w:rsidRPr="007E3523">
                    <w:rPr>
                      <w:rFonts w:ascii="Calibri" w:hAnsi="Calibri" w:cs="Calibri"/>
                      <w:color w:val="000000"/>
                    </w:rPr>
                    <w:t>473,207.00 (Cuarenta y ocho millones cuatrocientos setenta y tres mil doscientos siete</w:t>
                  </w:r>
                </w:p>
                <w:p w:rsidR="007E3523" w:rsidRPr="007E3523" w:rsidRDefault="007E3523" w:rsidP="007E3523">
                  <w:pPr>
                    <w:autoSpaceDE w:val="0"/>
                    <w:autoSpaceDN w:val="0"/>
                    <w:adjustRightInd w:val="0"/>
                    <w:spacing w:after="0" w:line="240" w:lineRule="auto"/>
                    <w:jc w:val="both"/>
                    <w:rPr>
                      <w:rFonts w:ascii="Calibri" w:hAnsi="Calibri" w:cs="Calibri"/>
                      <w:color w:val="000000"/>
                    </w:rPr>
                  </w:pPr>
                  <w:r w:rsidRPr="007E3523">
                    <w:rPr>
                      <w:rFonts w:ascii="Calibri" w:hAnsi="Calibri" w:cs="Calibri"/>
                      <w:color w:val="000000"/>
                    </w:rPr>
                    <w:t xml:space="preserve"> 00/100 M.N.), de los cuales fueron radicados en su totalidad por parte del Gobierno del Estado.</w:t>
                  </w:r>
                </w:p>
                <w:p w:rsidR="007E3523" w:rsidRPr="007E3523" w:rsidRDefault="007E3523" w:rsidP="007E3523">
                  <w:pPr>
                    <w:autoSpaceDE w:val="0"/>
                    <w:autoSpaceDN w:val="0"/>
                    <w:adjustRightInd w:val="0"/>
                    <w:spacing w:after="0" w:line="240" w:lineRule="auto"/>
                    <w:jc w:val="both"/>
                    <w:rPr>
                      <w:rFonts w:ascii="Calibri" w:hAnsi="Calibri" w:cs="Calibri"/>
                      <w:color w:val="000000"/>
                    </w:rPr>
                  </w:pPr>
                </w:p>
                <w:p w:rsidR="007E3523" w:rsidRPr="007E3523" w:rsidRDefault="007E3523" w:rsidP="007E3523">
                  <w:pPr>
                    <w:autoSpaceDE w:val="0"/>
                    <w:autoSpaceDN w:val="0"/>
                    <w:adjustRightInd w:val="0"/>
                    <w:spacing w:after="0" w:line="240" w:lineRule="auto"/>
                    <w:jc w:val="both"/>
                    <w:rPr>
                      <w:rFonts w:ascii="Calibri" w:hAnsi="Calibri" w:cs="Calibri"/>
                      <w:color w:val="000000"/>
                    </w:rPr>
                  </w:pPr>
                  <w:r w:rsidRPr="007E3523">
                    <w:rPr>
                      <w:rFonts w:ascii="Calibri" w:hAnsi="Calibri" w:cs="Calibri"/>
                      <w:color w:val="000000"/>
                    </w:rPr>
                    <w:t>De los recursos  por las aportaciones adicionales en el pago de refrendos vehiculares de la ciudadanía fueron recau</w:t>
                  </w:r>
                  <w:r w:rsidR="009D3F7D">
                    <w:rPr>
                      <w:rFonts w:ascii="Calibri" w:hAnsi="Calibri" w:cs="Calibri"/>
                      <w:color w:val="000000"/>
                    </w:rPr>
                    <w:t>dados la cantidad de $ 45’563,33</w:t>
                  </w:r>
                  <w:r w:rsidRPr="007E3523">
                    <w:rPr>
                      <w:rFonts w:ascii="Calibri" w:hAnsi="Calibri" w:cs="Calibri"/>
                      <w:color w:val="000000"/>
                    </w:rPr>
                    <w:t xml:space="preserve">5.50 (Cuarenta y cinco millones quinientos sesenta y tres mil trescientos </w:t>
                  </w:r>
                  <w:r w:rsidR="009D3F7D">
                    <w:rPr>
                      <w:rFonts w:ascii="Calibri" w:hAnsi="Calibri" w:cs="Calibri"/>
                      <w:color w:val="000000"/>
                    </w:rPr>
                    <w:t>treinta</w:t>
                  </w:r>
                  <w:r w:rsidRPr="007E3523">
                    <w:rPr>
                      <w:rFonts w:ascii="Calibri" w:hAnsi="Calibri" w:cs="Calibri"/>
                      <w:color w:val="000000"/>
                    </w:rPr>
                    <w:t xml:space="preserve"> y cinco pesos 50/100 M.N.) de los cuales  se nos adeudan $ 290,160.00 (Doscientos noventa mil ciento sesenta pesos 00/100 M.N.) </w:t>
                  </w:r>
                </w:p>
                <w:p w:rsidR="006F057B" w:rsidRDefault="006F057B" w:rsidP="006F057B">
                  <w:pPr>
                    <w:autoSpaceDE w:val="0"/>
                    <w:autoSpaceDN w:val="0"/>
                    <w:adjustRightInd w:val="0"/>
                    <w:spacing w:after="0" w:line="240" w:lineRule="auto"/>
                    <w:jc w:val="both"/>
                    <w:rPr>
                      <w:rFonts w:ascii="Calibri" w:hAnsi="Calibri" w:cs="Calibri"/>
                      <w:color w:val="000000"/>
                    </w:rPr>
                  </w:pPr>
                </w:p>
                <w:p w:rsidR="006F057B" w:rsidRDefault="006F057B" w:rsidP="006F057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En el mes de Enero de 2018, se recibió la cantidad de $ 527,940.00 (Quinientos veintisiete mil novecientos cuarenta pesos 00/100 M.N) por concepto de refrendos vehiculares del mes de Diciembre de 2017.</w:t>
                  </w:r>
                </w:p>
                <w:p w:rsidR="00E7641A" w:rsidRDefault="00E7641A" w:rsidP="007E3523">
                  <w:pPr>
                    <w:autoSpaceDE w:val="0"/>
                    <w:autoSpaceDN w:val="0"/>
                    <w:adjustRightInd w:val="0"/>
                    <w:spacing w:after="0" w:line="240" w:lineRule="auto"/>
                    <w:jc w:val="both"/>
                    <w:rPr>
                      <w:rFonts w:ascii="Calibri" w:hAnsi="Calibri" w:cs="Calibri"/>
                      <w:color w:val="000000"/>
                    </w:rPr>
                  </w:pPr>
                </w:p>
                <w:p w:rsidR="007E3523" w:rsidRDefault="00E7641A" w:rsidP="007E352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Por lo que en total de Recursos adicionales en el pago de refrendos vehiculares se ob</w:t>
                  </w:r>
                  <w:r w:rsidR="006B2DCC">
                    <w:rPr>
                      <w:rFonts w:ascii="Calibri" w:hAnsi="Calibri" w:cs="Calibri"/>
                      <w:color w:val="000000"/>
                    </w:rPr>
                    <w:t>tuvo la cantidad de $ 46’091,275</w:t>
                  </w:r>
                  <w:r>
                    <w:rPr>
                      <w:rFonts w:ascii="Calibri" w:hAnsi="Calibri" w:cs="Calibri"/>
                      <w:color w:val="000000"/>
                    </w:rPr>
                    <w:t xml:space="preserve">.50 (Cuarenta y seis millones noventa y un mil </w:t>
                  </w:r>
                  <w:r w:rsidR="006B2DCC">
                    <w:rPr>
                      <w:rFonts w:ascii="Calibri" w:hAnsi="Calibri" w:cs="Calibri"/>
                      <w:color w:val="000000"/>
                    </w:rPr>
                    <w:t>doscientos setenta y cinco</w:t>
                  </w:r>
                  <w:r>
                    <w:rPr>
                      <w:rFonts w:ascii="Calibri" w:hAnsi="Calibri" w:cs="Calibri"/>
                      <w:color w:val="000000"/>
                    </w:rPr>
                    <w:t xml:space="preserve"> pesos 50/100 M.N.). </w:t>
                  </w:r>
                </w:p>
                <w:p w:rsidR="00E7641A" w:rsidRPr="007E3523" w:rsidRDefault="00E7641A" w:rsidP="007E3523">
                  <w:pPr>
                    <w:autoSpaceDE w:val="0"/>
                    <w:autoSpaceDN w:val="0"/>
                    <w:adjustRightInd w:val="0"/>
                    <w:spacing w:after="0" w:line="240" w:lineRule="auto"/>
                    <w:jc w:val="both"/>
                    <w:rPr>
                      <w:rFonts w:ascii="Calibri" w:hAnsi="Calibri" w:cs="Calibri"/>
                      <w:color w:val="000000"/>
                    </w:rPr>
                  </w:pPr>
                </w:p>
                <w:p w:rsidR="00343639" w:rsidRDefault="007E3523" w:rsidP="007E3523">
                  <w:pPr>
                    <w:autoSpaceDE w:val="0"/>
                    <w:autoSpaceDN w:val="0"/>
                    <w:adjustRightInd w:val="0"/>
                    <w:spacing w:after="0" w:line="240" w:lineRule="auto"/>
                    <w:jc w:val="both"/>
                    <w:rPr>
                      <w:rFonts w:ascii="Calibri" w:hAnsi="Calibri" w:cs="Calibri"/>
                      <w:color w:val="000000"/>
                    </w:rPr>
                  </w:pPr>
                  <w:r w:rsidRPr="007E3523">
                    <w:rPr>
                      <w:rFonts w:ascii="Calibri" w:hAnsi="Calibri" w:cs="Calibri"/>
                      <w:color w:val="000000"/>
                    </w:rPr>
                    <w:t xml:space="preserve">Respecto a los Ingresos propios recaudados ascendieron  </w:t>
                  </w:r>
                  <w:r w:rsidR="00E7641A">
                    <w:rPr>
                      <w:rFonts w:ascii="Calibri" w:hAnsi="Calibri" w:cs="Calibri"/>
                      <w:color w:val="000000"/>
                    </w:rPr>
                    <w:t xml:space="preserve">por </w:t>
                  </w:r>
                  <w:r w:rsidRPr="007E3523">
                    <w:rPr>
                      <w:rFonts w:ascii="Calibri" w:hAnsi="Calibri" w:cs="Calibri"/>
                      <w:color w:val="000000"/>
                    </w:rPr>
                    <w:t xml:space="preserve">  concepto de venta de bienes</w:t>
                  </w:r>
                  <w:r w:rsidR="00E7641A">
                    <w:rPr>
                      <w:rFonts w:ascii="Calibri" w:hAnsi="Calibri" w:cs="Calibri"/>
                      <w:color w:val="000000"/>
                    </w:rPr>
                    <w:t xml:space="preserve"> y prestación de servicios $ 262,110.82,</w:t>
                  </w:r>
                  <w:r w:rsidRPr="007E3523">
                    <w:rPr>
                      <w:rFonts w:ascii="Calibri" w:hAnsi="Calibri" w:cs="Calibri"/>
                      <w:color w:val="000000"/>
                    </w:rPr>
                    <w:t xml:space="preserve"> donativos en efectivo</w:t>
                  </w:r>
                  <w:r w:rsidR="00343639">
                    <w:rPr>
                      <w:rFonts w:ascii="Calibri" w:hAnsi="Calibri" w:cs="Calibri"/>
                      <w:color w:val="000000"/>
                    </w:rPr>
                    <w:t xml:space="preserve"> </w:t>
                  </w:r>
                  <w:r w:rsidR="00A94EFF">
                    <w:rPr>
                      <w:rFonts w:ascii="Calibri" w:hAnsi="Calibri" w:cs="Calibri"/>
                      <w:color w:val="000000"/>
                    </w:rPr>
                    <w:t xml:space="preserve">  $ 1’253,031.07, donativos en especie $ 3’551,264.79 y productos financieros la cantidad de $ 2’057,006.87</w:t>
                  </w:r>
                  <w:r w:rsidRPr="007E3523">
                    <w:rPr>
                      <w:rFonts w:ascii="Calibri" w:hAnsi="Calibri" w:cs="Calibri"/>
                      <w:color w:val="000000"/>
                    </w:rPr>
                    <w:t xml:space="preserve"> </w:t>
                  </w:r>
                </w:p>
                <w:p w:rsidR="00343639" w:rsidRDefault="00343639" w:rsidP="007E3523">
                  <w:pPr>
                    <w:autoSpaceDE w:val="0"/>
                    <w:autoSpaceDN w:val="0"/>
                    <w:adjustRightInd w:val="0"/>
                    <w:spacing w:after="0" w:line="240" w:lineRule="auto"/>
                    <w:jc w:val="both"/>
                    <w:rPr>
                      <w:rFonts w:ascii="Calibri" w:hAnsi="Calibri" w:cs="Calibri"/>
                      <w:color w:val="000000"/>
                    </w:rPr>
                  </w:pPr>
                </w:p>
                <w:p w:rsidR="007E3523" w:rsidRDefault="007E3523" w:rsidP="007E3523">
                  <w:pPr>
                    <w:autoSpaceDE w:val="0"/>
                    <w:autoSpaceDN w:val="0"/>
                    <w:adjustRightInd w:val="0"/>
                    <w:spacing w:after="0" w:line="240" w:lineRule="auto"/>
                    <w:jc w:val="both"/>
                    <w:rPr>
                      <w:rFonts w:ascii="Calibri" w:hAnsi="Calibri" w:cs="Calibri"/>
                      <w:color w:val="000000"/>
                    </w:rPr>
                  </w:pPr>
                  <w:r w:rsidRPr="007E3523">
                    <w:rPr>
                      <w:rFonts w:ascii="Calibri" w:hAnsi="Calibri" w:cs="Calibri"/>
                      <w:color w:val="000000"/>
                    </w:rPr>
                    <w:t>Y por último</w:t>
                  </w:r>
                  <w:r w:rsidR="00343639">
                    <w:rPr>
                      <w:rFonts w:ascii="Calibri" w:hAnsi="Calibri" w:cs="Calibri"/>
                      <w:color w:val="000000"/>
                    </w:rPr>
                    <w:t>,</w:t>
                  </w:r>
                  <w:r w:rsidRPr="007E3523">
                    <w:rPr>
                      <w:rFonts w:ascii="Calibri" w:hAnsi="Calibri" w:cs="Calibri"/>
                      <w:color w:val="000000"/>
                    </w:rPr>
                    <w:t xml:space="preserve"> la</w:t>
                  </w:r>
                  <w:r w:rsidR="00A94EFF">
                    <w:rPr>
                      <w:rFonts w:ascii="Calibri" w:hAnsi="Calibri" w:cs="Calibri"/>
                      <w:color w:val="000000"/>
                    </w:rPr>
                    <w:t>s</w:t>
                  </w:r>
                  <w:r w:rsidRPr="007E3523">
                    <w:rPr>
                      <w:rFonts w:ascii="Calibri" w:hAnsi="Calibri" w:cs="Calibri"/>
                      <w:color w:val="000000"/>
                    </w:rPr>
                    <w:t xml:space="preserve"> aportaci</w:t>
                  </w:r>
                  <w:r w:rsidR="00A94EFF">
                    <w:rPr>
                      <w:rFonts w:ascii="Calibri" w:hAnsi="Calibri" w:cs="Calibri"/>
                      <w:color w:val="000000"/>
                    </w:rPr>
                    <w:t>ones</w:t>
                  </w:r>
                  <w:r w:rsidRPr="007E3523">
                    <w:rPr>
                      <w:rFonts w:ascii="Calibri" w:hAnsi="Calibri" w:cs="Calibri"/>
                      <w:color w:val="000000"/>
                    </w:rPr>
                    <w:t xml:space="preserve"> </w:t>
                  </w:r>
                  <w:r w:rsidR="00343639">
                    <w:rPr>
                      <w:rFonts w:ascii="Calibri" w:hAnsi="Calibri" w:cs="Calibri"/>
                      <w:color w:val="000000"/>
                    </w:rPr>
                    <w:t>recibida</w:t>
                  </w:r>
                  <w:r w:rsidR="00A94EFF">
                    <w:rPr>
                      <w:rFonts w:ascii="Calibri" w:hAnsi="Calibri" w:cs="Calibri"/>
                      <w:color w:val="000000"/>
                    </w:rPr>
                    <w:t>s</w:t>
                  </w:r>
                  <w:r w:rsidR="00343639">
                    <w:rPr>
                      <w:rFonts w:ascii="Calibri" w:hAnsi="Calibri" w:cs="Calibri"/>
                      <w:color w:val="000000"/>
                    </w:rPr>
                    <w:t xml:space="preserve"> por parte de </w:t>
                  </w:r>
                  <w:r w:rsidRPr="007E3523">
                    <w:rPr>
                      <w:rFonts w:ascii="Calibri" w:hAnsi="Calibri" w:cs="Calibri"/>
                      <w:color w:val="000000"/>
                    </w:rPr>
                    <w:t>DIF</w:t>
                  </w:r>
                  <w:r w:rsidR="00343639">
                    <w:rPr>
                      <w:rFonts w:ascii="Calibri" w:hAnsi="Calibri" w:cs="Calibri"/>
                      <w:color w:val="000000"/>
                    </w:rPr>
                    <w:t xml:space="preserve"> Jalisco,</w:t>
                  </w:r>
                  <w:r w:rsidRPr="007E3523">
                    <w:rPr>
                      <w:rFonts w:ascii="Calibri" w:hAnsi="Calibri" w:cs="Calibri"/>
                      <w:color w:val="000000"/>
                    </w:rPr>
                    <w:t xml:space="preserve"> por la cantidad de</w:t>
                  </w:r>
                  <w:r w:rsidR="007A616A">
                    <w:rPr>
                      <w:rFonts w:ascii="Calibri" w:hAnsi="Calibri" w:cs="Calibri"/>
                      <w:color w:val="000000"/>
                    </w:rPr>
                    <w:t xml:space="preserve">     </w:t>
                  </w:r>
                  <w:r w:rsidRPr="007E3523">
                    <w:rPr>
                      <w:rFonts w:ascii="Calibri" w:hAnsi="Calibri" w:cs="Calibri"/>
                      <w:color w:val="000000"/>
                    </w:rPr>
                    <w:t>$682,709.00</w:t>
                  </w:r>
                  <w:r w:rsidR="00A94EFF">
                    <w:rPr>
                      <w:rFonts w:ascii="Calibri" w:hAnsi="Calibri" w:cs="Calibri"/>
                      <w:color w:val="000000"/>
                    </w:rPr>
                    <w:t xml:space="preserve"> </w:t>
                  </w:r>
                  <w:r w:rsidRPr="007E3523">
                    <w:rPr>
                      <w:rFonts w:ascii="Calibri" w:hAnsi="Calibri" w:cs="Calibri"/>
                      <w:color w:val="000000"/>
                    </w:rPr>
                    <w:t>(Seiscientos sesenta y dos mil setecientos nueve pesos 00/100 M.N.)</w:t>
                  </w:r>
                  <w:r w:rsidR="00343639">
                    <w:rPr>
                      <w:rFonts w:ascii="Calibri" w:hAnsi="Calibri" w:cs="Calibri"/>
                      <w:color w:val="000000"/>
                    </w:rPr>
                    <w:t xml:space="preserve"> para la aplicación </w:t>
                  </w:r>
                  <w:r w:rsidR="007A616A">
                    <w:rPr>
                      <w:rFonts w:ascii="Calibri" w:hAnsi="Calibri" w:cs="Calibri"/>
                      <w:color w:val="000000"/>
                    </w:rPr>
                    <w:t xml:space="preserve">del programa de Albergue Filtro y $ 21,000.00 para la </w:t>
                  </w:r>
                  <w:proofErr w:type="spellStart"/>
                  <w:r w:rsidR="007A616A">
                    <w:rPr>
                      <w:rFonts w:ascii="Calibri" w:hAnsi="Calibri" w:cs="Calibri"/>
                      <w:color w:val="000000"/>
                    </w:rPr>
                    <w:t>sufragación</w:t>
                  </w:r>
                  <w:proofErr w:type="spellEnd"/>
                  <w:r w:rsidR="007A616A">
                    <w:rPr>
                      <w:rFonts w:ascii="Calibri" w:hAnsi="Calibri" w:cs="Calibri"/>
                      <w:color w:val="000000"/>
                    </w:rPr>
                    <w:t xml:space="preserve"> de gastos escolares de los pupilos de la Procuraduría de la defensa del menor y la familia albergados en esta institución.</w:t>
                  </w:r>
                </w:p>
                <w:p w:rsidR="007A616A" w:rsidRDefault="007A616A" w:rsidP="007E3523">
                  <w:pPr>
                    <w:autoSpaceDE w:val="0"/>
                    <w:autoSpaceDN w:val="0"/>
                    <w:adjustRightInd w:val="0"/>
                    <w:spacing w:after="0" w:line="240" w:lineRule="auto"/>
                    <w:jc w:val="both"/>
                    <w:rPr>
                      <w:rFonts w:ascii="Calibri" w:hAnsi="Calibri" w:cs="Calibri"/>
                      <w:color w:val="000000"/>
                    </w:rPr>
                  </w:pPr>
                </w:p>
                <w:p w:rsidR="007A616A" w:rsidRDefault="007A616A" w:rsidP="007E352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De igual forma se recibieron la cantidad de $300,000.00 por parte de la Secretaría de Desarrollo e integración social para la puesta en marcha del proyecto de Comedores comunitarios en el Hogar Cabañas.</w:t>
                  </w:r>
                </w:p>
                <w:p w:rsidR="007A616A" w:rsidRDefault="007A616A" w:rsidP="007E3523">
                  <w:pPr>
                    <w:autoSpaceDE w:val="0"/>
                    <w:autoSpaceDN w:val="0"/>
                    <w:adjustRightInd w:val="0"/>
                    <w:spacing w:after="0" w:line="240" w:lineRule="auto"/>
                    <w:jc w:val="both"/>
                    <w:rPr>
                      <w:rFonts w:ascii="Calibri" w:hAnsi="Calibri" w:cs="Calibri"/>
                      <w:color w:val="000000"/>
                    </w:rPr>
                  </w:pPr>
                </w:p>
                <w:p w:rsidR="004E1911" w:rsidRDefault="004E1911" w:rsidP="007E3523">
                  <w:pPr>
                    <w:autoSpaceDE w:val="0"/>
                    <w:autoSpaceDN w:val="0"/>
                    <w:adjustRightInd w:val="0"/>
                    <w:spacing w:after="0" w:line="240" w:lineRule="auto"/>
                    <w:jc w:val="both"/>
                    <w:rPr>
                      <w:rFonts w:ascii="Calibri" w:hAnsi="Calibri" w:cs="Calibri"/>
                      <w:color w:val="000000"/>
                    </w:rPr>
                  </w:pPr>
                </w:p>
                <w:p w:rsidR="005C6034" w:rsidRDefault="005C6034" w:rsidP="007E3523">
                  <w:pPr>
                    <w:autoSpaceDE w:val="0"/>
                    <w:autoSpaceDN w:val="0"/>
                    <w:adjustRightInd w:val="0"/>
                    <w:spacing w:after="0" w:line="240" w:lineRule="auto"/>
                    <w:jc w:val="both"/>
                    <w:rPr>
                      <w:rFonts w:ascii="Calibri" w:hAnsi="Calibri" w:cs="Calibri"/>
                      <w:color w:val="000000"/>
                    </w:rPr>
                  </w:pPr>
                </w:p>
                <w:p w:rsidR="007A616A" w:rsidRDefault="007A616A" w:rsidP="007E3523">
                  <w:pPr>
                    <w:autoSpaceDE w:val="0"/>
                    <w:autoSpaceDN w:val="0"/>
                    <w:adjustRightInd w:val="0"/>
                    <w:spacing w:after="0" w:line="240" w:lineRule="auto"/>
                    <w:jc w:val="both"/>
                    <w:rPr>
                      <w:rFonts w:ascii="Calibri" w:hAnsi="Calibri" w:cs="Calibri"/>
                      <w:b/>
                      <w:color w:val="000000"/>
                    </w:rPr>
                  </w:pPr>
                </w:p>
                <w:p w:rsidR="007A616A" w:rsidRDefault="007A616A" w:rsidP="007E3523">
                  <w:pPr>
                    <w:autoSpaceDE w:val="0"/>
                    <w:autoSpaceDN w:val="0"/>
                    <w:adjustRightInd w:val="0"/>
                    <w:spacing w:after="0" w:line="240" w:lineRule="auto"/>
                    <w:jc w:val="both"/>
                    <w:rPr>
                      <w:rFonts w:ascii="Calibri" w:hAnsi="Calibri" w:cs="Calibri"/>
                      <w:b/>
                      <w:color w:val="000000"/>
                    </w:rPr>
                  </w:pPr>
                </w:p>
                <w:p w:rsidR="00C42F21" w:rsidRPr="00EB7FC7" w:rsidRDefault="00C42F21" w:rsidP="007E3523">
                  <w:pPr>
                    <w:autoSpaceDE w:val="0"/>
                    <w:autoSpaceDN w:val="0"/>
                    <w:adjustRightInd w:val="0"/>
                    <w:spacing w:after="0" w:line="240" w:lineRule="auto"/>
                    <w:jc w:val="both"/>
                    <w:rPr>
                      <w:rFonts w:ascii="Calibri" w:hAnsi="Calibri" w:cs="Calibri"/>
                      <w:b/>
                      <w:color w:val="000000"/>
                    </w:rPr>
                  </w:pPr>
                  <w:r w:rsidRPr="00EB7FC7">
                    <w:rPr>
                      <w:rFonts w:ascii="Calibri" w:hAnsi="Calibri" w:cs="Calibri"/>
                      <w:b/>
                      <w:color w:val="000000"/>
                    </w:rPr>
                    <w:lastRenderedPageBreak/>
                    <w:t>11.- Información sobre la deuda y reporte analítico de la deuda</w:t>
                  </w:r>
                </w:p>
                <w:p w:rsidR="004E1911" w:rsidRDefault="004E1911" w:rsidP="007E3523">
                  <w:pPr>
                    <w:autoSpaceDE w:val="0"/>
                    <w:autoSpaceDN w:val="0"/>
                    <w:adjustRightInd w:val="0"/>
                    <w:spacing w:after="0" w:line="240" w:lineRule="auto"/>
                    <w:jc w:val="both"/>
                    <w:rPr>
                      <w:rFonts w:ascii="Calibri" w:hAnsi="Calibri" w:cs="Calibri"/>
                      <w:color w:val="000000"/>
                    </w:rPr>
                  </w:pPr>
                </w:p>
                <w:tbl>
                  <w:tblPr>
                    <w:tblW w:w="6098" w:type="dxa"/>
                    <w:tblInd w:w="855" w:type="dxa"/>
                    <w:tblLayout w:type="fixed"/>
                    <w:tblCellMar>
                      <w:left w:w="70" w:type="dxa"/>
                      <w:right w:w="70" w:type="dxa"/>
                    </w:tblCellMar>
                    <w:tblLook w:val="04A0" w:firstRow="1" w:lastRow="0" w:firstColumn="1" w:lastColumn="0" w:noHBand="0" w:noVBand="1"/>
                  </w:tblPr>
                  <w:tblGrid>
                    <w:gridCol w:w="4320"/>
                    <w:gridCol w:w="1778"/>
                  </w:tblGrid>
                  <w:tr w:rsidR="004E1911" w:rsidRPr="004E1911" w:rsidTr="004E1911">
                    <w:trPr>
                      <w:trHeight w:val="300"/>
                    </w:trPr>
                    <w:tc>
                      <w:tcPr>
                        <w:tcW w:w="4320" w:type="dxa"/>
                        <w:tcBorders>
                          <w:top w:val="single" w:sz="4" w:space="0" w:color="auto"/>
                          <w:left w:val="single" w:sz="4" w:space="0" w:color="auto"/>
                          <w:bottom w:val="single" w:sz="4" w:space="0" w:color="auto"/>
                          <w:right w:val="nil"/>
                        </w:tcBorders>
                        <w:shd w:val="clear" w:color="000000" w:fill="D9D9D9"/>
                        <w:noWrap/>
                        <w:vAlign w:val="bottom"/>
                        <w:hideMark/>
                      </w:tcPr>
                      <w:p w:rsidR="004E1911" w:rsidRPr="004E1911" w:rsidRDefault="004E1911" w:rsidP="004E1911">
                        <w:pPr>
                          <w:spacing w:after="0" w:line="240" w:lineRule="auto"/>
                          <w:jc w:val="center"/>
                          <w:rPr>
                            <w:rFonts w:ascii="Calibri" w:eastAsia="Times New Roman" w:hAnsi="Calibri" w:cs="Calibri"/>
                            <w:b/>
                            <w:bCs/>
                            <w:color w:val="000000"/>
                            <w:lang w:eastAsia="es-MX"/>
                          </w:rPr>
                        </w:pPr>
                        <w:r w:rsidRPr="004E1911">
                          <w:rPr>
                            <w:rFonts w:ascii="Calibri" w:eastAsia="Times New Roman" w:hAnsi="Calibri" w:cs="Calibri"/>
                            <w:b/>
                            <w:bCs/>
                            <w:color w:val="000000"/>
                            <w:lang w:eastAsia="es-MX"/>
                          </w:rPr>
                          <w:t>EJERCICIO</w:t>
                        </w:r>
                      </w:p>
                    </w:tc>
                    <w:tc>
                      <w:tcPr>
                        <w:tcW w:w="1778"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4E1911" w:rsidRPr="004E1911" w:rsidRDefault="004E1911" w:rsidP="004E1911">
                        <w:pPr>
                          <w:spacing w:after="0" w:line="240" w:lineRule="auto"/>
                          <w:jc w:val="center"/>
                          <w:rPr>
                            <w:rFonts w:ascii="Calibri" w:eastAsia="Times New Roman" w:hAnsi="Calibri" w:cs="Calibri"/>
                            <w:b/>
                            <w:bCs/>
                            <w:color w:val="000000"/>
                            <w:lang w:eastAsia="es-MX"/>
                          </w:rPr>
                        </w:pPr>
                        <w:r w:rsidRPr="004E1911">
                          <w:rPr>
                            <w:rFonts w:ascii="Calibri" w:eastAsia="Times New Roman" w:hAnsi="Calibri" w:cs="Calibri"/>
                            <w:b/>
                            <w:bCs/>
                            <w:color w:val="000000"/>
                            <w:lang w:eastAsia="es-MX"/>
                          </w:rPr>
                          <w:t>PASIVOS</w:t>
                        </w:r>
                      </w:p>
                    </w:tc>
                  </w:tr>
                  <w:tr w:rsidR="004E1911" w:rsidRPr="004E1911" w:rsidTr="004E1911">
                    <w:trPr>
                      <w:trHeight w:val="300"/>
                    </w:trPr>
                    <w:tc>
                      <w:tcPr>
                        <w:tcW w:w="4320" w:type="dxa"/>
                        <w:tcBorders>
                          <w:top w:val="nil"/>
                          <w:left w:val="single" w:sz="4" w:space="0" w:color="auto"/>
                          <w:bottom w:val="nil"/>
                          <w:right w:val="nil"/>
                        </w:tcBorders>
                        <w:shd w:val="clear" w:color="auto" w:fill="auto"/>
                        <w:noWrap/>
                        <w:vAlign w:val="bottom"/>
                        <w:hideMark/>
                      </w:tcPr>
                      <w:p w:rsidR="004E1911" w:rsidRPr="004E1911" w:rsidRDefault="004E1911" w:rsidP="004E1911">
                        <w:pPr>
                          <w:spacing w:after="0" w:line="240" w:lineRule="auto"/>
                          <w:jc w:val="center"/>
                          <w:rPr>
                            <w:rFonts w:ascii="Calibri" w:eastAsia="Times New Roman" w:hAnsi="Calibri" w:cs="Calibri"/>
                            <w:color w:val="000000"/>
                            <w:lang w:eastAsia="es-MX"/>
                          </w:rPr>
                        </w:pPr>
                        <w:r w:rsidRPr="004E1911">
                          <w:rPr>
                            <w:rFonts w:ascii="Calibri" w:eastAsia="Times New Roman" w:hAnsi="Calibri" w:cs="Calibri"/>
                            <w:color w:val="000000"/>
                            <w:lang w:eastAsia="es-MX"/>
                          </w:rPr>
                          <w:t>2018</w:t>
                        </w:r>
                      </w:p>
                    </w:tc>
                    <w:tc>
                      <w:tcPr>
                        <w:tcW w:w="1778" w:type="dxa"/>
                        <w:tcBorders>
                          <w:top w:val="nil"/>
                          <w:left w:val="single" w:sz="4" w:space="0" w:color="auto"/>
                          <w:bottom w:val="nil"/>
                          <w:right w:val="single" w:sz="4" w:space="0" w:color="auto"/>
                        </w:tcBorders>
                        <w:shd w:val="clear" w:color="auto" w:fill="auto"/>
                        <w:noWrap/>
                        <w:vAlign w:val="bottom"/>
                        <w:hideMark/>
                      </w:tcPr>
                      <w:p w:rsidR="004E1911" w:rsidRPr="004E1911" w:rsidRDefault="004E1911" w:rsidP="004E1911">
                        <w:pPr>
                          <w:spacing w:after="0" w:line="240" w:lineRule="auto"/>
                          <w:rPr>
                            <w:rFonts w:ascii="Calibri" w:eastAsia="Times New Roman" w:hAnsi="Calibri" w:cs="Calibri"/>
                            <w:color w:val="000000"/>
                            <w:lang w:eastAsia="es-MX"/>
                          </w:rPr>
                        </w:pPr>
                        <w:r w:rsidRPr="004E1911">
                          <w:rPr>
                            <w:rFonts w:ascii="Calibri" w:eastAsia="Times New Roman" w:hAnsi="Calibri" w:cs="Calibri"/>
                            <w:color w:val="000000"/>
                            <w:lang w:eastAsia="es-MX"/>
                          </w:rPr>
                          <w:t xml:space="preserve"> 1,602,567 </w:t>
                        </w:r>
                      </w:p>
                    </w:tc>
                  </w:tr>
                  <w:tr w:rsidR="004E1911" w:rsidRPr="004E1911" w:rsidTr="004E1911">
                    <w:trPr>
                      <w:trHeight w:val="300"/>
                    </w:trPr>
                    <w:tc>
                      <w:tcPr>
                        <w:tcW w:w="4320" w:type="dxa"/>
                        <w:tcBorders>
                          <w:top w:val="nil"/>
                          <w:left w:val="single" w:sz="4" w:space="0" w:color="auto"/>
                          <w:bottom w:val="nil"/>
                          <w:right w:val="nil"/>
                        </w:tcBorders>
                        <w:shd w:val="clear" w:color="auto" w:fill="auto"/>
                        <w:noWrap/>
                        <w:vAlign w:val="bottom"/>
                        <w:hideMark/>
                      </w:tcPr>
                      <w:p w:rsidR="004E1911" w:rsidRPr="004E1911" w:rsidRDefault="004E1911" w:rsidP="004E1911">
                        <w:pPr>
                          <w:spacing w:after="0" w:line="240" w:lineRule="auto"/>
                          <w:jc w:val="center"/>
                          <w:rPr>
                            <w:rFonts w:ascii="Calibri" w:eastAsia="Times New Roman" w:hAnsi="Calibri" w:cs="Calibri"/>
                            <w:color w:val="000000"/>
                            <w:lang w:eastAsia="es-MX"/>
                          </w:rPr>
                        </w:pPr>
                        <w:r w:rsidRPr="004E1911">
                          <w:rPr>
                            <w:rFonts w:ascii="Calibri" w:eastAsia="Times New Roman" w:hAnsi="Calibri" w:cs="Calibri"/>
                            <w:color w:val="000000"/>
                            <w:lang w:eastAsia="es-MX"/>
                          </w:rPr>
                          <w:t>2017</w:t>
                        </w:r>
                      </w:p>
                    </w:tc>
                    <w:tc>
                      <w:tcPr>
                        <w:tcW w:w="1778" w:type="dxa"/>
                        <w:tcBorders>
                          <w:top w:val="nil"/>
                          <w:left w:val="single" w:sz="4" w:space="0" w:color="auto"/>
                          <w:bottom w:val="nil"/>
                          <w:right w:val="single" w:sz="4" w:space="0" w:color="auto"/>
                        </w:tcBorders>
                        <w:shd w:val="clear" w:color="auto" w:fill="auto"/>
                        <w:noWrap/>
                        <w:vAlign w:val="bottom"/>
                        <w:hideMark/>
                      </w:tcPr>
                      <w:p w:rsidR="004E1911" w:rsidRPr="004E1911" w:rsidRDefault="004E1911" w:rsidP="004E1911">
                        <w:pPr>
                          <w:spacing w:after="0" w:line="240" w:lineRule="auto"/>
                          <w:rPr>
                            <w:rFonts w:ascii="Calibri" w:eastAsia="Times New Roman" w:hAnsi="Calibri" w:cs="Calibri"/>
                            <w:color w:val="000000"/>
                            <w:lang w:eastAsia="es-MX"/>
                          </w:rPr>
                        </w:pPr>
                        <w:r w:rsidRPr="004E1911">
                          <w:rPr>
                            <w:rFonts w:ascii="Calibri" w:eastAsia="Times New Roman" w:hAnsi="Calibri" w:cs="Calibri"/>
                            <w:color w:val="000000"/>
                            <w:lang w:eastAsia="es-MX"/>
                          </w:rPr>
                          <w:t xml:space="preserve">                 </w:t>
                        </w:r>
                        <w:r>
                          <w:rPr>
                            <w:rFonts w:ascii="Calibri" w:eastAsia="Times New Roman" w:hAnsi="Calibri" w:cs="Calibri"/>
                            <w:color w:val="000000"/>
                            <w:lang w:eastAsia="es-MX"/>
                          </w:rPr>
                          <w:t xml:space="preserve">    </w:t>
                        </w:r>
                        <w:r w:rsidRPr="004E1911">
                          <w:rPr>
                            <w:rFonts w:ascii="Calibri" w:eastAsia="Times New Roman" w:hAnsi="Calibri" w:cs="Calibri"/>
                            <w:color w:val="000000"/>
                            <w:lang w:eastAsia="es-MX"/>
                          </w:rPr>
                          <w:t xml:space="preserve">1,649,465 </w:t>
                        </w:r>
                      </w:p>
                    </w:tc>
                  </w:tr>
                  <w:tr w:rsidR="004E1911" w:rsidRPr="004E1911" w:rsidTr="004E1911">
                    <w:trPr>
                      <w:trHeight w:val="300"/>
                    </w:trPr>
                    <w:tc>
                      <w:tcPr>
                        <w:tcW w:w="4320" w:type="dxa"/>
                        <w:tcBorders>
                          <w:top w:val="nil"/>
                          <w:left w:val="single" w:sz="4" w:space="0" w:color="auto"/>
                          <w:bottom w:val="nil"/>
                          <w:right w:val="nil"/>
                        </w:tcBorders>
                        <w:shd w:val="clear" w:color="auto" w:fill="auto"/>
                        <w:noWrap/>
                        <w:vAlign w:val="bottom"/>
                        <w:hideMark/>
                      </w:tcPr>
                      <w:p w:rsidR="004E1911" w:rsidRPr="004E1911" w:rsidRDefault="004E1911" w:rsidP="004E1911">
                        <w:pPr>
                          <w:spacing w:after="0" w:line="240" w:lineRule="auto"/>
                          <w:jc w:val="center"/>
                          <w:rPr>
                            <w:rFonts w:ascii="Calibri" w:eastAsia="Times New Roman" w:hAnsi="Calibri" w:cs="Calibri"/>
                            <w:color w:val="000000"/>
                            <w:lang w:eastAsia="es-MX"/>
                          </w:rPr>
                        </w:pPr>
                        <w:r w:rsidRPr="004E1911">
                          <w:rPr>
                            <w:rFonts w:ascii="Calibri" w:eastAsia="Times New Roman" w:hAnsi="Calibri" w:cs="Calibri"/>
                            <w:color w:val="000000"/>
                            <w:lang w:eastAsia="es-MX"/>
                          </w:rPr>
                          <w:t>2016</w:t>
                        </w:r>
                      </w:p>
                    </w:tc>
                    <w:tc>
                      <w:tcPr>
                        <w:tcW w:w="1778" w:type="dxa"/>
                        <w:tcBorders>
                          <w:top w:val="nil"/>
                          <w:left w:val="single" w:sz="4" w:space="0" w:color="auto"/>
                          <w:bottom w:val="nil"/>
                          <w:right w:val="single" w:sz="4" w:space="0" w:color="auto"/>
                        </w:tcBorders>
                        <w:shd w:val="clear" w:color="auto" w:fill="auto"/>
                        <w:noWrap/>
                        <w:vAlign w:val="bottom"/>
                        <w:hideMark/>
                      </w:tcPr>
                      <w:p w:rsidR="004E1911" w:rsidRPr="004E1911" w:rsidRDefault="004E1911" w:rsidP="004E1911">
                        <w:pPr>
                          <w:spacing w:after="0" w:line="240" w:lineRule="auto"/>
                          <w:rPr>
                            <w:rFonts w:ascii="Calibri" w:eastAsia="Times New Roman" w:hAnsi="Calibri" w:cs="Calibri"/>
                            <w:color w:val="000000"/>
                            <w:lang w:eastAsia="es-MX"/>
                          </w:rPr>
                        </w:pPr>
                        <w:r w:rsidRPr="004E1911">
                          <w:rPr>
                            <w:rFonts w:ascii="Calibri" w:eastAsia="Times New Roman" w:hAnsi="Calibri" w:cs="Calibri"/>
                            <w:color w:val="000000"/>
                            <w:lang w:eastAsia="es-MX"/>
                          </w:rPr>
                          <w:t xml:space="preserve">                 1,622,758 </w:t>
                        </w:r>
                      </w:p>
                    </w:tc>
                  </w:tr>
                  <w:tr w:rsidR="004E1911" w:rsidRPr="004E1911" w:rsidTr="004E1911">
                    <w:trPr>
                      <w:trHeight w:val="300"/>
                    </w:trPr>
                    <w:tc>
                      <w:tcPr>
                        <w:tcW w:w="4320" w:type="dxa"/>
                        <w:tcBorders>
                          <w:top w:val="nil"/>
                          <w:left w:val="single" w:sz="4" w:space="0" w:color="auto"/>
                          <w:bottom w:val="nil"/>
                          <w:right w:val="nil"/>
                        </w:tcBorders>
                        <w:shd w:val="clear" w:color="auto" w:fill="auto"/>
                        <w:noWrap/>
                        <w:vAlign w:val="bottom"/>
                        <w:hideMark/>
                      </w:tcPr>
                      <w:p w:rsidR="004E1911" w:rsidRPr="004E1911" w:rsidRDefault="004E1911" w:rsidP="004E1911">
                        <w:pPr>
                          <w:spacing w:after="0" w:line="240" w:lineRule="auto"/>
                          <w:jc w:val="center"/>
                          <w:rPr>
                            <w:rFonts w:ascii="Calibri" w:eastAsia="Times New Roman" w:hAnsi="Calibri" w:cs="Calibri"/>
                            <w:color w:val="000000"/>
                            <w:lang w:eastAsia="es-MX"/>
                          </w:rPr>
                        </w:pPr>
                        <w:r w:rsidRPr="004E1911">
                          <w:rPr>
                            <w:rFonts w:ascii="Calibri" w:eastAsia="Times New Roman" w:hAnsi="Calibri" w:cs="Calibri"/>
                            <w:color w:val="000000"/>
                            <w:lang w:eastAsia="es-MX"/>
                          </w:rPr>
                          <w:t>2015</w:t>
                        </w:r>
                      </w:p>
                    </w:tc>
                    <w:tc>
                      <w:tcPr>
                        <w:tcW w:w="1778" w:type="dxa"/>
                        <w:tcBorders>
                          <w:top w:val="nil"/>
                          <w:left w:val="single" w:sz="4" w:space="0" w:color="auto"/>
                          <w:bottom w:val="nil"/>
                          <w:right w:val="single" w:sz="4" w:space="0" w:color="auto"/>
                        </w:tcBorders>
                        <w:shd w:val="clear" w:color="auto" w:fill="auto"/>
                        <w:noWrap/>
                        <w:vAlign w:val="bottom"/>
                        <w:hideMark/>
                      </w:tcPr>
                      <w:p w:rsidR="004E1911" w:rsidRPr="004E1911" w:rsidRDefault="004E1911" w:rsidP="004E1911">
                        <w:pPr>
                          <w:spacing w:after="0" w:line="240" w:lineRule="auto"/>
                          <w:rPr>
                            <w:rFonts w:ascii="Calibri" w:eastAsia="Times New Roman" w:hAnsi="Calibri" w:cs="Calibri"/>
                            <w:color w:val="000000"/>
                            <w:lang w:eastAsia="es-MX"/>
                          </w:rPr>
                        </w:pPr>
                        <w:r w:rsidRPr="004E1911">
                          <w:rPr>
                            <w:rFonts w:ascii="Calibri" w:eastAsia="Times New Roman" w:hAnsi="Calibri" w:cs="Calibri"/>
                            <w:color w:val="000000"/>
                            <w:lang w:eastAsia="es-MX"/>
                          </w:rPr>
                          <w:t xml:space="preserve">                 1,513,534 </w:t>
                        </w:r>
                      </w:p>
                    </w:tc>
                  </w:tr>
                  <w:tr w:rsidR="004E1911" w:rsidRPr="004E1911" w:rsidTr="004E1911">
                    <w:trPr>
                      <w:trHeight w:val="300"/>
                    </w:trPr>
                    <w:tc>
                      <w:tcPr>
                        <w:tcW w:w="4320" w:type="dxa"/>
                        <w:tcBorders>
                          <w:top w:val="nil"/>
                          <w:left w:val="single" w:sz="4" w:space="0" w:color="auto"/>
                          <w:bottom w:val="nil"/>
                          <w:right w:val="nil"/>
                        </w:tcBorders>
                        <w:shd w:val="clear" w:color="auto" w:fill="auto"/>
                        <w:noWrap/>
                        <w:vAlign w:val="bottom"/>
                        <w:hideMark/>
                      </w:tcPr>
                      <w:p w:rsidR="004E1911" w:rsidRPr="004E1911" w:rsidRDefault="004E1911" w:rsidP="004E1911">
                        <w:pPr>
                          <w:spacing w:after="0" w:line="240" w:lineRule="auto"/>
                          <w:jc w:val="center"/>
                          <w:rPr>
                            <w:rFonts w:ascii="Calibri" w:eastAsia="Times New Roman" w:hAnsi="Calibri" w:cs="Calibri"/>
                            <w:color w:val="000000"/>
                            <w:lang w:eastAsia="es-MX"/>
                          </w:rPr>
                        </w:pPr>
                        <w:r w:rsidRPr="004E1911">
                          <w:rPr>
                            <w:rFonts w:ascii="Calibri" w:eastAsia="Times New Roman" w:hAnsi="Calibri" w:cs="Calibri"/>
                            <w:color w:val="000000"/>
                            <w:lang w:eastAsia="es-MX"/>
                          </w:rPr>
                          <w:t>2014</w:t>
                        </w:r>
                      </w:p>
                    </w:tc>
                    <w:tc>
                      <w:tcPr>
                        <w:tcW w:w="1778" w:type="dxa"/>
                        <w:tcBorders>
                          <w:top w:val="nil"/>
                          <w:left w:val="single" w:sz="4" w:space="0" w:color="auto"/>
                          <w:bottom w:val="nil"/>
                          <w:right w:val="single" w:sz="4" w:space="0" w:color="auto"/>
                        </w:tcBorders>
                        <w:shd w:val="clear" w:color="auto" w:fill="auto"/>
                        <w:noWrap/>
                        <w:vAlign w:val="bottom"/>
                        <w:hideMark/>
                      </w:tcPr>
                      <w:p w:rsidR="004E1911" w:rsidRPr="004E1911" w:rsidRDefault="004E1911" w:rsidP="004E1911">
                        <w:pPr>
                          <w:spacing w:after="0" w:line="240" w:lineRule="auto"/>
                          <w:rPr>
                            <w:rFonts w:ascii="Calibri" w:eastAsia="Times New Roman" w:hAnsi="Calibri" w:cs="Calibri"/>
                            <w:color w:val="000000"/>
                            <w:lang w:eastAsia="es-MX"/>
                          </w:rPr>
                        </w:pPr>
                        <w:r w:rsidRPr="004E1911">
                          <w:rPr>
                            <w:rFonts w:ascii="Calibri" w:eastAsia="Times New Roman" w:hAnsi="Calibri" w:cs="Calibri"/>
                            <w:color w:val="000000"/>
                            <w:lang w:eastAsia="es-MX"/>
                          </w:rPr>
                          <w:t xml:space="preserve">                 1,172,282 </w:t>
                        </w:r>
                      </w:p>
                    </w:tc>
                  </w:tr>
                  <w:tr w:rsidR="004E1911" w:rsidRPr="004E1911" w:rsidTr="004E1911">
                    <w:trPr>
                      <w:trHeight w:val="300"/>
                    </w:trPr>
                    <w:tc>
                      <w:tcPr>
                        <w:tcW w:w="4320" w:type="dxa"/>
                        <w:tcBorders>
                          <w:top w:val="nil"/>
                          <w:left w:val="single" w:sz="4" w:space="0" w:color="auto"/>
                          <w:bottom w:val="single" w:sz="4" w:space="0" w:color="auto"/>
                          <w:right w:val="nil"/>
                        </w:tcBorders>
                        <w:shd w:val="clear" w:color="auto" w:fill="auto"/>
                        <w:noWrap/>
                        <w:vAlign w:val="bottom"/>
                        <w:hideMark/>
                      </w:tcPr>
                      <w:p w:rsidR="004E1911" w:rsidRPr="004E1911" w:rsidRDefault="004E1911" w:rsidP="004E1911">
                        <w:pPr>
                          <w:spacing w:after="0" w:line="240" w:lineRule="auto"/>
                          <w:jc w:val="center"/>
                          <w:rPr>
                            <w:rFonts w:ascii="Calibri" w:eastAsia="Times New Roman" w:hAnsi="Calibri" w:cs="Calibri"/>
                            <w:color w:val="000000"/>
                            <w:lang w:eastAsia="es-MX"/>
                          </w:rPr>
                        </w:pPr>
                        <w:r w:rsidRPr="004E1911">
                          <w:rPr>
                            <w:rFonts w:ascii="Calibri" w:eastAsia="Times New Roman" w:hAnsi="Calibri" w:cs="Calibri"/>
                            <w:color w:val="000000"/>
                            <w:lang w:eastAsia="es-MX"/>
                          </w:rPr>
                          <w:t>2013</w:t>
                        </w:r>
                      </w:p>
                    </w:tc>
                    <w:tc>
                      <w:tcPr>
                        <w:tcW w:w="1778" w:type="dxa"/>
                        <w:tcBorders>
                          <w:top w:val="nil"/>
                          <w:left w:val="single" w:sz="4" w:space="0" w:color="auto"/>
                          <w:bottom w:val="single" w:sz="4" w:space="0" w:color="auto"/>
                          <w:right w:val="single" w:sz="4" w:space="0" w:color="auto"/>
                        </w:tcBorders>
                        <w:shd w:val="clear" w:color="auto" w:fill="auto"/>
                        <w:noWrap/>
                        <w:vAlign w:val="bottom"/>
                        <w:hideMark/>
                      </w:tcPr>
                      <w:p w:rsidR="004E1911" w:rsidRPr="004E1911" w:rsidRDefault="004E1911" w:rsidP="004E1911">
                        <w:pPr>
                          <w:spacing w:after="0" w:line="240" w:lineRule="auto"/>
                          <w:rPr>
                            <w:rFonts w:ascii="Calibri" w:eastAsia="Times New Roman" w:hAnsi="Calibri" w:cs="Calibri"/>
                            <w:color w:val="000000"/>
                            <w:lang w:eastAsia="es-MX"/>
                          </w:rPr>
                        </w:pPr>
                        <w:r w:rsidRPr="004E1911">
                          <w:rPr>
                            <w:rFonts w:ascii="Calibri" w:eastAsia="Times New Roman" w:hAnsi="Calibri" w:cs="Calibri"/>
                            <w:color w:val="000000"/>
                            <w:lang w:eastAsia="es-MX"/>
                          </w:rPr>
                          <w:t xml:space="preserve">                 1,242,542 </w:t>
                        </w:r>
                      </w:p>
                    </w:tc>
                  </w:tr>
                </w:tbl>
                <w:p w:rsidR="004E1911" w:rsidRDefault="004E1911" w:rsidP="007E3523">
                  <w:pPr>
                    <w:autoSpaceDE w:val="0"/>
                    <w:autoSpaceDN w:val="0"/>
                    <w:adjustRightInd w:val="0"/>
                    <w:spacing w:after="0" w:line="240" w:lineRule="auto"/>
                    <w:jc w:val="both"/>
                    <w:rPr>
                      <w:rFonts w:ascii="Calibri" w:hAnsi="Calibri" w:cs="Calibri"/>
                      <w:color w:val="000000"/>
                    </w:rPr>
                  </w:pPr>
                </w:p>
                <w:p w:rsidR="004E1911" w:rsidRDefault="00C42F21" w:rsidP="00EB7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Las pasivos del Hogar Cabañas son obligaciones contraídas por el pago de proveedores, </w:t>
                  </w:r>
                </w:p>
                <w:p w:rsidR="00C42F21" w:rsidRDefault="00C42F21" w:rsidP="00EB7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Impuestos por pagar y Acreedores diversos que se generaron al final del ejercicio</w:t>
                  </w:r>
                  <w:r w:rsidR="00EB7FC7">
                    <w:rPr>
                      <w:rFonts w:ascii="Calibri" w:hAnsi="Calibri" w:cs="Calibri"/>
                      <w:color w:val="000000"/>
                    </w:rPr>
                    <w:t xml:space="preserve"> 2018</w:t>
                  </w:r>
                </w:p>
                <w:p w:rsidR="00C42F21" w:rsidRDefault="00C42F21" w:rsidP="00EB7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y serán liquidados durante el ejercicio de 2019, sin que representen</w:t>
                  </w:r>
                  <w:r w:rsidR="007A616A">
                    <w:rPr>
                      <w:rFonts w:ascii="Calibri" w:hAnsi="Calibri" w:cs="Calibri"/>
                      <w:color w:val="000000"/>
                    </w:rPr>
                    <w:t xml:space="preserve">           </w:t>
                  </w:r>
                  <w:r>
                    <w:rPr>
                      <w:rFonts w:ascii="Calibri" w:hAnsi="Calibri" w:cs="Calibri"/>
                      <w:color w:val="000000"/>
                    </w:rPr>
                    <w:t xml:space="preserve"> erogaciones</w:t>
                  </w:r>
                </w:p>
                <w:p w:rsidR="00C42F21" w:rsidRDefault="00C42F21" w:rsidP="00EB7FC7">
                  <w:pPr>
                    <w:autoSpaceDE w:val="0"/>
                    <w:autoSpaceDN w:val="0"/>
                    <w:adjustRightInd w:val="0"/>
                    <w:spacing w:after="0" w:line="240" w:lineRule="auto"/>
                    <w:jc w:val="both"/>
                    <w:rPr>
                      <w:rFonts w:ascii="Calibri" w:hAnsi="Calibri" w:cs="Calibri"/>
                      <w:color w:val="000000"/>
                    </w:rPr>
                  </w:pPr>
                  <w:proofErr w:type="gramStart"/>
                  <w:r>
                    <w:rPr>
                      <w:rFonts w:ascii="Calibri" w:hAnsi="Calibri" w:cs="Calibri"/>
                      <w:color w:val="000000"/>
                    </w:rPr>
                    <w:t>mayores</w:t>
                  </w:r>
                  <w:proofErr w:type="gramEnd"/>
                  <w:r>
                    <w:rPr>
                      <w:rFonts w:ascii="Calibri" w:hAnsi="Calibri" w:cs="Calibri"/>
                      <w:color w:val="000000"/>
                    </w:rPr>
                    <w:t xml:space="preserve"> a los ingresos.</w:t>
                  </w:r>
                </w:p>
                <w:p w:rsidR="00C42F21" w:rsidRDefault="00C42F21" w:rsidP="007E3523">
                  <w:pPr>
                    <w:autoSpaceDE w:val="0"/>
                    <w:autoSpaceDN w:val="0"/>
                    <w:adjustRightInd w:val="0"/>
                    <w:spacing w:after="0" w:line="240" w:lineRule="auto"/>
                    <w:jc w:val="both"/>
                    <w:rPr>
                      <w:rFonts w:ascii="Calibri" w:hAnsi="Calibri" w:cs="Calibri"/>
                      <w:color w:val="000000"/>
                    </w:rPr>
                  </w:pPr>
                </w:p>
                <w:p w:rsidR="00EB7FC7" w:rsidRDefault="00EB7FC7" w:rsidP="007E3523">
                  <w:pPr>
                    <w:autoSpaceDE w:val="0"/>
                    <w:autoSpaceDN w:val="0"/>
                    <w:adjustRightInd w:val="0"/>
                    <w:spacing w:after="0" w:line="240" w:lineRule="auto"/>
                    <w:jc w:val="both"/>
                    <w:rPr>
                      <w:rFonts w:ascii="Calibri" w:hAnsi="Calibri" w:cs="Calibri"/>
                      <w:b/>
                      <w:color w:val="000000"/>
                    </w:rPr>
                  </w:pPr>
                </w:p>
                <w:p w:rsidR="00EB7FC7" w:rsidRDefault="00EB7FC7" w:rsidP="007E3523">
                  <w:pPr>
                    <w:autoSpaceDE w:val="0"/>
                    <w:autoSpaceDN w:val="0"/>
                    <w:adjustRightInd w:val="0"/>
                    <w:spacing w:after="0" w:line="240" w:lineRule="auto"/>
                    <w:jc w:val="both"/>
                    <w:rPr>
                      <w:rFonts w:ascii="Calibri" w:hAnsi="Calibri" w:cs="Calibri"/>
                      <w:b/>
                      <w:color w:val="000000"/>
                    </w:rPr>
                  </w:pPr>
                </w:p>
                <w:p w:rsidR="00C42F21" w:rsidRDefault="00C42F21" w:rsidP="007E3523">
                  <w:pPr>
                    <w:autoSpaceDE w:val="0"/>
                    <w:autoSpaceDN w:val="0"/>
                    <w:adjustRightInd w:val="0"/>
                    <w:spacing w:after="0" w:line="240" w:lineRule="auto"/>
                    <w:jc w:val="both"/>
                    <w:rPr>
                      <w:rFonts w:ascii="Calibri" w:hAnsi="Calibri" w:cs="Calibri"/>
                      <w:color w:val="000000"/>
                    </w:rPr>
                  </w:pPr>
                  <w:r w:rsidRPr="00C42F21">
                    <w:rPr>
                      <w:rFonts w:ascii="Calibri" w:hAnsi="Calibri" w:cs="Calibri"/>
                      <w:b/>
                      <w:color w:val="000000"/>
                    </w:rPr>
                    <w:t>12.-Calificaciones otorgadas</w:t>
                  </w:r>
                  <w:r>
                    <w:rPr>
                      <w:rFonts w:ascii="Calibri" w:hAnsi="Calibri" w:cs="Calibri"/>
                      <w:color w:val="000000"/>
                    </w:rPr>
                    <w:t xml:space="preserve"> </w:t>
                  </w:r>
                </w:p>
                <w:p w:rsidR="00C42F21" w:rsidRDefault="00C42F21" w:rsidP="007E352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El Hogar Cabañas no cuenta con calificación crediticia alguna.</w:t>
                  </w:r>
                </w:p>
                <w:p w:rsidR="00C42F21" w:rsidRDefault="00C42F21" w:rsidP="007E3523">
                  <w:pPr>
                    <w:autoSpaceDE w:val="0"/>
                    <w:autoSpaceDN w:val="0"/>
                    <w:adjustRightInd w:val="0"/>
                    <w:spacing w:after="0" w:line="240" w:lineRule="auto"/>
                    <w:jc w:val="both"/>
                    <w:rPr>
                      <w:rFonts w:ascii="Calibri" w:hAnsi="Calibri" w:cs="Calibri"/>
                      <w:color w:val="000000"/>
                    </w:rPr>
                  </w:pPr>
                </w:p>
                <w:p w:rsidR="00C42F21" w:rsidRDefault="00C42F21" w:rsidP="007E3523">
                  <w:pPr>
                    <w:autoSpaceDE w:val="0"/>
                    <w:autoSpaceDN w:val="0"/>
                    <w:adjustRightInd w:val="0"/>
                    <w:spacing w:after="0" w:line="240" w:lineRule="auto"/>
                    <w:jc w:val="both"/>
                    <w:rPr>
                      <w:rFonts w:ascii="Calibri" w:hAnsi="Calibri" w:cs="Calibri"/>
                      <w:b/>
                      <w:color w:val="000000"/>
                    </w:rPr>
                  </w:pPr>
                  <w:r w:rsidRPr="00C42F21">
                    <w:rPr>
                      <w:rFonts w:ascii="Calibri" w:hAnsi="Calibri" w:cs="Calibri"/>
                      <w:b/>
                      <w:color w:val="000000"/>
                    </w:rPr>
                    <w:t>13.-Procesos de mejora.</w:t>
                  </w:r>
                </w:p>
                <w:p w:rsidR="00C42F21" w:rsidRDefault="00C42F21" w:rsidP="007E352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 El Hogar Cabañas en el  ejercicio de 2018 como “Procesos sustanciales de mejora” se continuó </w:t>
                  </w:r>
                </w:p>
                <w:p w:rsidR="00C42F21" w:rsidRDefault="00C42F21" w:rsidP="007E352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con los 5 Proyectos estratégicos implementados en 2017, y los nuevos  implementados  </w:t>
                  </w:r>
                  <w:r w:rsidR="00EB7FC7">
                    <w:rPr>
                      <w:rFonts w:ascii="Calibri" w:hAnsi="Calibri" w:cs="Calibri"/>
                      <w:color w:val="000000"/>
                    </w:rPr>
                    <w:t xml:space="preserve">  </w:t>
                  </w:r>
                  <w:r>
                    <w:rPr>
                      <w:rFonts w:ascii="Calibri" w:hAnsi="Calibri" w:cs="Calibri"/>
                      <w:color w:val="000000"/>
                    </w:rPr>
                    <w:t>para</w:t>
                  </w:r>
                </w:p>
                <w:p w:rsidR="00C42F21" w:rsidRDefault="00EB7FC7" w:rsidP="007E352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 </w:t>
                  </w:r>
                  <w:proofErr w:type="gramStart"/>
                  <w:r>
                    <w:rPr>
                      <w:rFonts w:ascii="Calibri" w:hAnsi="Calibri" w:cs="Calibri"/>
                      <w:color w:val="000000"/>
                    </w:rPr>
                    <w:t>el</w:t>
                  </w:r>
                  <w:proofErr w:type="gramEnd"/>
                  <w:r>
                    <w:rPr>
                      <w:rFonts w:ascii="Calibri" w:hAnsi="Calibri" w:cs="Calibri"/>
                      <w:color w:val="000000"/>
                    </w:rPr>
                    <w:t xml:space="preserve"> ejercicio de</w:t>
                  </w:r>
                  <w:r w:rsidR="00C42F21">
                    <w:rPr>
                      <w:rFonts w:ascii="Calibri" w:hAnsi="Calibri" w:cs="Calibri"/>
                      <w:color w:val="000000"/>
                    </w:rPr>
                    <w:t xml:space="preserve"> 2018, que sirvieron para impulsar diferentes áreas y capacidades de los albergados en el Hogar Cabañas. De igual forma fue creada la Matriz de indicadores de resultados, como herramienta</w:t>
                  </w:r>
                  <w:r>
                    <w:rPr>
                      <w:rFonts w:ascii="Calibri" w:hAnsi="Calibri" w:cs="Calibri"/>
                      <w:color w:val="000000"/>
                    </w:rPr>
                    <w:t xml:space="preserve">  </w:t>
                  </w:r>
                  <w:r w:rsidR="00C42F21">
                    <w:rPr>
                      <w:rFonts w:ascii="Calibri" w:hAnsi="Calibri" w:cs="Calibri"/>
                      <w:color w:val="000000"/>
                    </w:rPr>
                    <w:t xml:space="preserve"> para el seguimiento y evaluación del Programa Operativo Anual del Hogar Cabañas y cumplir satisfactoriamente con las metas programadas al inicio del ejercicio de 2018, las cuales</w:t>
                  </w:r>
                  <w:r>
                    <w:rPr>
                      <w:rFonts w:ascii="Calibri" w:hAnsi="Calibri" w:cs="Calibri"/>
                      <w:color w:val="000000"/>
                    </w:rPr>
                    <w:t xml:space="preserve">  </w:t>
                  </w:r>
                  <w:r w:rsidR="00C42F21">
                    <w:rPr>
                      <w:rFonts w:ascii="Calibri" w:hAnsi="Calibri" w:cs="Calibri"/>
                      <w:color w:val="000000"/>
                    </w:rPr>
                    <w:t xml:space="preserve"> fueron alcanzadas casi en su totalidad.</w:t>
                  </w:r>
                </w:p>
                <w:tbl>
                  <w:tblPr>
                    <w:tblW w:w="9236" w:type="dxa"/>
                    <w:tblInd w:w="70" w:type="dxa"/>
                    <w:tblLayout w:type="fixed"/>
                    <w:tblCellMar>
                      <w:left w:w="70" w:type="dxa"/>
                      <w:right w:w="70" w:type="dxa"/>
                    </w:tblCellMar>
                    <w:tblLook w:val="0000" w:firstRow="0" w:lastRow="0" w:firstColumn="0" w:lastColumn="0" w:noHBand="0" w:noVBand="0"/>
                  </w:tblPr>
                  <w:tblGrid>
                    <w:gridCol w:w="4417"/>
                    <w:gridCol w:w="4819"/>
                  </w:tblGrid>
                  <w:tr w:rsidR="003476BB" w:rsidTr="000441E1">
                    <w:trPr>
                      <w:trHeight w:val="290"/>
                    </w:trPr>
                    <w:tc>
                      <w:tcPr>
                        <w:tcW w:w="9236" w:type="dxa"/>
                        <w:gridSpan w:val="2"/>
                        <w:tcBorders>
                          <w:top w:val="nil"/>
                          <w:left w:val="nil"/>
                          <w:bottom w:val="nil"/>
                          <w:right w:val="nil"/>
                        </w:tcBorders>
                        <w:shd w:val="solid" w:color="FFFFFF" w:fill="auto"/>
                      </w:tcPr>
                      <w:p w:rsidR="003476BB" w:rsidRDefault="003476BB" w:rsidP="003476BB">
                        <w:pPr>
                          <w:autoSpaceDE w:val="0"/>
                          <w:autoSpaceDN w:val="0"/>
                          <w:adjustRightInd w:val="0"/>
                          <w:spacing w:after="0" w:line="240" w:lineRule="auto"/>
                          <w:jc w:val="both"/>
                          <w:rPr>
                            <w:rFonts w:ascii="Calibri" w:hAnsi="Calibri" w:cs="Calibri"/>
                            <w:color w:val="000000"/>
                          </w:rPr>
                        </w:pPr>
                      </w:p>
                      <w:p w:rsidR="003476BB" w:rsidRDefault="003476BB" w:rsidP="003476BB">
                        <w:pPr>
                          <w:autoSpaceDE w:val="0"/>
                          <w:autoSpaceDN w:val="0"/>
                          <w:adjustRightInd w:val="0"/>
                          <w:spacing w:after="0" w:line="240" w:lineRule="auto"/>
                          <w:jc w:val="both"/>
                          <w:rPr>
                            <w:rFonts w:ascii="Calibri" w:hAnsi="Calibri" w:cs="Calibri"/>
                            <w:b/>
                            <w:color w:val="000000"/>
                          </w:rPr>
                        </w:pPr>
                        <w:r w:rsidRPr="003476BB">
                          <w:rPr>
                            <w:rFonts w:ascii="Calibri" w:hAnsi="Calibri" w:cs="Calibri"/>
                            <w:b/>
                            <w:color w:val="000000"/>
                          </w:rPr>
                          <w:t>14.-Información por segmentos.</w:t>
                        </w:r>
                      </w:p>
                      <w:p w:rsidR="00EB7FC7" w:rsidRPr="003476BB" w:rsidRDefault="00EB7FC7" w:rsidP="003476BB">
                        <w:pPr>
                          <w:autoSpaceDE w:val="0"/>
                          <w:autoSpaceDN w:val="0"/>
                          <w:adjustRightInd w:val="0"/>
                          <w:spacing w:after="0" w:line="240" w:lineRule="auto"/>
                          <w:jc w:val="both"/>
                          <w:rPr>
                            <w:rFonts w:ascii="Calibri" w:hAnsi="Calibri" w:cs="Calibri"/>
                            <w:b/>
                            <w:color w:val="000000"/>
                          </w:rPr>
                        </w:pPr>
                      </w:p>
                      <w:p w:rsidR="003476BB"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 El Hogar Cabañas recibió por parte del Gobierno del Estado de Jalisco:</w:t>
                        </w:r>
                      </w:p>
                      <w:p w:rsidR="003476BB" w:rsidRDefault="003476BB" w:rsidP="003476BB">
                        <w:pPr>
                          <w:autoSpaceDE w:val="0"/>
                          <w:autoSpaceDN w:val="0"/>
                          <w:adjustRightInd w:val="0"/>
                          <w:spacing w:after="0" w:line="240" w:lineRule="auto"/>
                          <w:jc w:val="both"/>
                          <w:rPr>
                            <w:rFonts w:ascii="Calibri" w:hAnsi="Calibri" w:cs="Calibri"/>
                            <w:color w:val="000000"/>
                          </w:rPr>
                        </w:pPr>
                      </w:p>
                      <w:p w:rsidR="003476BB"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Subsidio Estatal: $ 48,473,207.00 (Cuarenta y ocho millones cuatrocientos setenta y tres mil </w:t>
                        </w:r>
                      </w:p>
                      <w:p w:rsidR="003476BB" w:rsidRDefault="003476BB" w:rsidP="003476BB">
                        <w:pPr>
                          <w:autoSpaceDE w:val="0"/>
                          <w:autoSpaceDN w:val="0"/>
                          <w:adjustRightInd w:val="0"/>
                          <w:spacing w:after="0" w:line="240" w:lineRule="auto"/>
                          <w:jc w:val="both"/>
                          <w:rPr>
                            <w:rFonts w:ascii="Calibri" w:hAnsi="Calibri" w:cs="Calibri"/>
                            <w:color w:val="000000"/>
                          </w:rPr>
                        </w:pPr>
                        <w:proofErr w:type="gramStart"/>
                        <w:r>
                          <w:rPr>
                            <w:rFonts w:ascii="Calibri" w:hAnsi="Calibri" w:cs="Calibri"/>
                            <w:color w:val="000000"/>
                          </w:rPr>
                          <w:t>doscientos</w:t>
                        </w:r>
                        <w:proofErr w:type="gramEnd"/>
                        <w:r>
                          <w:rPr>
                            <w:rFonts w:ascii="Calibri" w:hAnsi="Calibri" w:cs="Calibri"/>
                            <w:color w:val="000000"/>
                          </w:rPr>
                          <w:t xml:space="preserve"> siete pesos 00/100 M.N.)</w:t>
                        </w:r>
                      </w:p>
                      <w:p w:rsidR="003476BB" w:rsidRDefault="003476BB" w:rsidP="003476BB">
                        <w:pPr>
                          <w:autoSpaceDE w:val="0"/>
                          <w:autoSpaceDN w:val="0"/>
                          <w:adjustRightInd w:val="0"/>
                          <w:spacing w:after="0" w:line="240" w:lineRule="auto"/>
                          <w:jc w:val="both"/>
                          <w:rPr>
                            <w:rFonts w:ascii="Calibri" w:hAnsi="Calibri" w:cs="Calibri"/>
                            <w:color w:val="000000"/>
                          </w:rPr>
                        </w:pPr>
                      </w:p>
                      <w:p w:rsidR="00EB7FC7"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Aportaciones adicionales al pago de Refrendos Vehiculares del 2018 ascendieron a </w:t>
                        </w:r>
                        <w:r w:rsidR="00EB7FC7">
                          <w:rPr>
                            <w:rFonts w:ascii="Calibri" w:hAnsi="Calibri" w:cs="Calibri"/>
                            <w:color w:val="000000"/>
                          </w:rPr>
                          <w:t xml:space="preserve">         </w:t>
                        </w:r>
                        <w:r>
                          <w:rPr>
                            <w:rFonts w:ascii="Calibri" w:hAnsi="Calibri" w:cs="Calibri"/>
                            <w:color w:val="000000"/>
                          </w:rPr>
                          <w:t xml:space="preserve">la </w:t>
                        </w:r>
                      </w:p>
                      <w:p w:rsidR="003476BB" w:rsidRDefault="005C6034"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cantidad de $ 45’563</w:t>
                        </w:r>
                        <w:r w:rsidR="003476BB">
                          <w:rPr>
                            <w:rFonts w:ascii="Calibri" w:hAnsi="Calibri" w:cs="Calibri"/>
                            <w:color w:val="000000"/>
                          </w:rPr>
                          <w:t>,</w:t>
                        </w:r>
                        <w:r>
                          <w:rPr>
                            <w:rFonts w:ascii="Calibri" w:hAnsi="Calibri" w:cs="Calibri"/>
                            <w:color w:val="000000"/>
                          </w:rPr>
                          <w:t xml:space="preserve">335 </w:t>
                        </w:r>
                        <w:r w:rsidR="003476BB">
                          <w:rPr>
                            <w:rFonts w:ascii="Calibri" w:hAnsi="Calibri" w:cs="Calibri"/>
                            <w:color w:val="000000"/>
                          </w:rPr>
                          <w:t xml:space="preserve">.50 (Cuarenta y cinco millones quinientos sesenta y </w:t>
                        </w:r>
                        <w:r>
                          <w:rPr>
                            <w:rFonts w:ascii="Calibri" w:hAnsi="Calibri" w:cs="Calibri"/>
                            <w:color w:val="000000"/>
                          </w:rPr>
                          <w:t xml:space="preserve">tres mil </w:t>
                        </w:r>
                      </w:p>
                      <w:p w:rsidR="003476BB" w:rsidRDefault="005C6034" w:rsidP="003476BB">
                        <w:pPr>
                          <w:autoSpaceDE w:val="0"/>
                          <w:autoSpaceDN w:val="0"/>
                          <w:adjustRightInd w:val="0"/>
                          <w:spacing w:after="0" w:line="240" w:lineRule="auto"/>
                          <w:jc w:val="both"/>
                          <w:rPr>
                            <w:rFonts w:ascii="Calibri" w:hAnsi="Calibri" w:cs="Calibri"/>
                            <w:color w:val="000000"/>
                          </w:rPr>
                        </w:pPr>
                        <w:proofErr w:type="gramStart"/>
                        <w:r>
                          <w:rPr>
                            <w:rFonts w:ascii="Calibri" w:hAnsi="Calibri" w:cs="Calibri"/>
                            <w:color w:val="000000"/>
                          </w:rPr>
                          <w:t>trescientos</w:t>
                        </w:r>
                        <w:proofErr w:type="gramEnd"/>
                        <w:r>
                          <w:rPr>
                            <w:rFonts w:ascii="Calibri" w:hAnsi="Calibri" w:cs="Calibri"/>
                            <w:color w:val="000000"/>
                          </w:rPr>
                          <w:t xml:space="preserve"> treinta y cinco pesos </w:t>
                        </w:r>
                        <w:r w:rsidR="003476BB">
                          <w:rPr>
                            <w:rFonts w:ascii="Calibri" w:hAnsi="Calibri" w:cs="Calibri"/>
                            <w:color w:val="000000"/>
                          </w:rPr>
                          <w:t xml:space="preserve"> 50/100 M.N.)</w:t>
                        </w:r>
                      </w:p>
                      <w:p w:rsidR="00EB7FC7" w:rsidRDefault="00EB7FC7" w:rsidP="003476BB">
                        <w:pPr>
                          <w:autoSpaceDE w:val="0"/>
                          <w:autoSpaceDN w:val="0"/>
                          <w:adjustRightInd w:val="0"/>
                          <w:spacing w:after="0" w:line="240" w:lineRule="auto"/>
                          <w:jc w:val="both"/>
                          <w:rPr>
                            <w:rFonts w:ascii="Calibri" w:hAnsi="Calibri" w:cs="Calibri"/>
                            <w:color w:val="000000"/>
                          </w:rPr>
                        </w:pPr>
                      </w:p>
                      <w:p w:rsidR="003476BB"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Aportaciones adicionales al pago de Refrendos Vehiculares de Diciembre de 2017 </w:t>
                        </w:r>
                        <w:r w:rsidR="00EB7FC7">
                          <w:rPr>
                            <w:rFonts w:ascii="Calibri" w:hAnsi="Calibri" w:cs="Calibri"/>
                            <w:color w:val="000000"/>
                          </w:rPr>
                          <w:t xml:space="preserve">    </w:t>
                        </w:r>
                        <w:r>
                          <w:rPr>
                            <w:rFonts w:ascii="Calibri" w:hAnsi="Calibri" w:cs="Calibri"/>
                            <w:color w:val="000000"/>
                          </w:rPr>
                          <w:t>por la</w:t>
                        </w:r>
                      </w:p>
                      <w:p w:rsidR="00EB7FC7"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cantidad de $ 527,940.00 (Quinientos veintisiete mil novecientos cuarenta pesos </w:t>
                        </w:r>
                        <w:r w:rsidR="00EB7FC7">
                          <w:rPr>
                            <w:rFonts w:ascii="Calibri" w:hAnsi="Calibri" w:cs="Calibri"/>
                            <w:color w:val="000000"/>
                          </w:rPr>
                          <w:t xml:space="preserve">   </w:t>
                        </w:r>
                        <w:r>
                          <w:rPr>
                            <w:rFonts w:ascii="Calibri" w:hAnsi="Calibri" w:cs="Calibri"/>
                            <w:color w:val="000000"/>
                          </w:rPr>
                          <w:t>00/100</w:t>
                        </w:r>
                      </w:p>
                      <w:p w:rsidR="003476BB"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M.N.) </w:t>
                        </w:r>
                      </w:p>
                      <w:p w:rsidR="003476BB" w:rsidRDefault="003476BB" w:rsidP="003476BB">
                        <w:pPr>
                          <w:autoSpaceDE w:val="0"/>
                          <w:autoSpaceDN w:val="0"/>
                          <w:adjustRightInd w:val="0"/>
                          <w:spacing w:after="0" w:line="240" w:lineRule="auto"/>
                          <w:jc w:val="both"/>
                          <w:rPr>
                            <w:rFonts w:ascii="Calibri" w:hAnsi="Calibri" w:cs="Calibri"/>
                            <w:color w:val="000000"/>
                          </w:rPr>
                        </w:pPr>
                      </w:p>
                      <w:p w:rsidR="00EB7FC7" w:rsidRDefault="003476BB" w:rsidP="00EB7FC7">
                        <w:pPr>
                          <w:autoSpaceDE w:val="0"/>
                          <w:autoSpaceDN w:val="0"/>
                          <w:adjustRightInd w:val="0"/>
                          <w:spacing w:after="0" w:line="240" w:lineRule="auto"/>
                          <w:rPr>
                            <w:rFonts w:ascii="Calibri" w:hAnsi="Calibri" w:cs="Calibri"/>
                            <w:color w:val="000000"/>
                          </w:rPr>
                        </w:pPr>
                        <w:r>
                          <w:rPr>
                            <w:rFonts w:ascii="Calibri" w:hAnsi="Calibri" w:cs="Calibri"/>
                            <w:color w:val="000000"/>
                          </w:rPr>
                          <w:t>Aportaciones</w:t>
                        </w:r>
                        <w:r w:rsidR="00EB7FC7">
                          <w:rPr>
                            <w:rFonts w:ascii="Calibri" w:hAnsi="Calibri" w:cs="Calibri"/>
                            <w:color w:val="000000"/>
                          </w:rPr>
                          <w:t xml:space="preserve"> del</w:t>
                        </w:r>
                        <w:r>
                          <w:rPr>
                            <w:rFonts w:ascii="Calibri" w:hAnsi="Calibri" w:cs="Calibri"/>
                            <w:color w:val="000000"/>
                          </w:rPr>
                          <w:t xml:space="preserve"> </w:t>
                        </w:r>
                        <w:proofErr w:type="spellStart"/>
                        <w:r>
                          <w:rPr>
                            <w:rFonts w:ascii="Calibri" w:hAnsi="Calibri" w:cs="Calibri"/>
                            <w:color w:val="000000"/>
                          </w:rPr>
                          <w:t>Dif</w:t>
                        </w:r>
                        <w:proofErr w:type="spellEnd"/>
                        <w:r>
                          <w:rPr>
                            <w:rFonts w:ascii="Calibri" w:hAnsi="Calibri" w:cs="Calibri"/>
                            <w:color w:val="000000"/>
                          </w:rPr>
                          <w:t xml:space="preserve"> Jalisco por la cantidad de</w:t>
                        </w:r>
                        <w:r w:rsidR="00B41788">
                          <w:rPr>
                            <w:rFonts w:ascii="Calibri" w:hAnsi="Calibri" w:cs="Calibri"/>
                            <w:color w:val="000000"/>
                          </w:rPr>
                          <w:t xml:space="preserve"> </w:t>
                        </w:r>
                        <w:r>
                          <w:rPr>
                            <w:rFonts w:ascii="Calibri" w:hAnsi="Calibri" w:cs="Calibri"/>
                            <w:color w:val="000000"/>
                          </w:rPr>
                          <w:t xml:space="preserve">$682,709.00 (Seiscientos ochenta y </w:t>
                        </w:r>
                        <w:r w:rsidR="00EB7FC7">
                          <w:rPr>
                            <w:rFonts w:ascii="Calibri" w:hAnsi="Calibri" w:cs="Calibri"/>
                            <w:color w:val="000000"/>
                          </w:rPr>
                          <w:t xml:space="preserve">   </w:t>
                        </w:r>
                        <w:r>
                          <w:rPr>
                            <w:rFonts w:ascii="Calibri" w:hAnsi="Calibri" w:cs="Calibri"/>
                            <w:color w:val="000000"/>
                          </w:rPr>
                          <w:t xml:space="preserve">dos mil </w:t>
                        </w:r>
                      </w:p>
                      <w:p w:rsidR="00EB7FC7" w:rsidRDefault="003476BB" w:rsidP="00EB7FC7">
                        <w:pPr>
                          <w:autoSpaceDE w:val="0"/>
                          <w:autoSpaceDN w:val="0"/>
                          <w:adjustRightInd w:val="0"/>
                          <w:spacing w:after="0" w:line="240" w:lineRule="auto"/>
                          <w:rPr>
                            <w:rFonts w:ascii="Calibri" w:hAnsi="Calibri" w:cs="Calibri"/>
                            <w:color w:val="000000"/>
                          </w:rPr>
                        </w:pPr>
                        <w:r>
                          <w:rPr>
                            <w:rFonts w:ascii="Calibri" w:hAnsi="Calibri" w:cs="Calibri"/>
                            <w:color w:val="000000"/>
                          </w:rPr>
                          <w:t>setecientos nueve pesos 00/100  para el programa Albergue</w:t>
                        </w:r>
                        <w:r w:rsidR="00EB7FC7">
                          <w:rPr>
                            <w:rFonts w:ascii="Calibri" w:hAnsi="Calibri" w:cs="Calibri"/>
                            <w:color w:val="000000"/>
                          </w:rPr>
                          <w:t xml:space="preserve"> f</w:t>
                        </w:r>
                        <w:r>
                          <w:rPr>
                            <w:rFonts w:ascii="Calibri" w:hAnsi="Calibri" w:cs="Calibri"/>
                            <w:color w:val="000000"/>
                          </w:rPr>
                          <w:t xml:space="preserve">iltro y la </w:t>
                        </w:r>
                        <w:r w:rsidR="00EB7FC7">
                          <w:rPr>
                            <w:rFonts w:ascii="Calibri" w:hAnsi="Calibri" w:cs="Calibri"/>
                            <w:color w:val="000000"/>
                          </w:rPr>
                          <w:t xml:space="preserve">                  </w:t>
                        </w:r>
                        <w:r>
                          <w:rPr>
                            <w:rFonts w:ascii="Calibri" w:hAnsi="Calibri" w:cs="Calibri"/>
                            <w:color w:val="000000"/>
                          </w:rPr>
                          <w:t xml:space="preserve">cantidad de </w:t>
                        </w:r>
                      </w:p>
                      <w:p w:rsidR="00EB7FC7" w:rsidRDefault="003476BB" w:rsidP="00EB7FC7">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$21,000.00 (Veintiún mil pesos 00/100 M.N.) para la adquisición de material escolar </w:t>
                        </w:r>
                        <w:r w:rsidR="00EB7FC7">
                          <w:rPr>
                            <w:rFonts w:ascii="Calibri" w:hAnsi="Calibri" w:cs="Calibri"/>
                            <w:color w:val="000000"/>
                          </w:rPr>
                          <w:t xml:space="preserve">     </w:t>
                        </w:r>
                        <w:r>
                          <w:rPr>
                            <w:rFonts w:ascii="Calibri" w:hAnsi="Calibri" w:cs="Calibri"/>
                            <w:color w:val="000000"/>
                          </w:rPr>
                          <w:t>para</w:t>
                        </w:r>
                        <w:r w:rsidR="00EB7FC7">
                          <w:rPr>
                            <w:rFonts w:ascii="Calibri" w:hAnsi="Calibri" w:cs="Calibri"/>
                            <w:color w:val="000000"/>
                          </w:rPr>
                          <w:t xml:space="preserve"> </w:t>
                        </w:r>
                      </w:p>
                      <w:p w:rsidR="00EB7FC7" w:rsidRDefault="003476BB" w:rsidP="00EB7FC7">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 los pupilos de la Procuraduría de la Defensa del menor y la familia albergados en el Hogar </w:t>
                        </w:r>
                      </w:p>
                      <w:p w:rsidR="003476BB" w:rsidRDefault="003476BB" w:rsidP="00EB7FC7">
                        <w:pPr>
                          <w:autoSpaceDE w:val="0"/>
                          <w:autoSpaceDN w:val="0"/>
                          <w:adjustRightInd w:val="0"/>
                          <w:spacing w:after="0" w:line="240" w:lineRule="auto"/>
                          <w:rPr>
                            <w:rFonts w:ascii="Calibri" w:hAnsi="Calibri" w:cs="Calibri"/>
                            <w:color w:val="000000"/>
                          </w:rPr>
                        </w:pPr>
                        <w:r>
                          <w:rPr>
                            <w:rFonts w:ascii="Calibri" w:hAnsi="Calibri" w:cs="Calibri"/>
                            <w:color w:val="000000"/>
                          </w:rPr>
                          <w:t>Cabañas.</w:t>
                        </w:r>
                      </w:p>
                      <w:p w:rsidR="00B41788" w:rsidRDefault="00B41788" w:rsidP="003476BB">
                        <w:pPr>
                          <w:autoSpaceDE w:val="0"/>
                          <w:autoSpaceDN w:val="0"/>
                          <w:adjustRightInd w:val="0"/>
                          <w:spacing w:after="0" w:line="240" w:lineRule="auto"/>
                          <w:jc w:val="both"/>
                          <w:rPr>
                            <w:rFonts w:ascii="Calibri" w:hAnsi="Calibri" w:cs="Calibri"/>
                            <w:color w:val="000000"/>
                          </w:rPr>
                        </w:pPr>
                      </w:p>
                      <w:p w:rsidR="003476BB"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Aportaciones de la Secretaría de Desarrollo e integración Social </w:t>
                        </w:r>
                        <w:r w:rsidR="00EB7FC7">
                          <w:rPr>
                            <w:rFonts w:ascii="Calibri" w:hAnsi="Calibri" w:cs="Calibri"/>
                            <w:color w:val="000000"/>
                          </w:rPr>
                          <w:t xml:space="preserve">      </w:t>
                        </w:r>
                        <w:r>
                          <w:rPr>
                            <w:rFonts w:ascii="Calibri" w:hAnsi="Calibri" w:cs="Calibri"/>
                            <w:color w:val="000000"/>
                          </w:rPr>
                          <w:t xml:space="preserve">por la cantidad </w:t>
                        </w:r>
                        <w:r w:rsidR="00EB7FC7">
                          <w:rPr>
                            <w:rFonts w:ascii="Calibri" w:hAnsi="Calibri" w:cs="Calibri"/>
                            <w:color w:val="000000"/>
                          </w:rPr>
                          <w:t xml:space="preserve">            </w:t>
                        </w:r>
                        <w:r>
                          <w:rPr>
                            <w:rFonts w:ascii="Calibri" w:hAnsi="Calibri" w:cs="Calibri"/>
                            <w:color w:val="000000"/>
                          </w:rPr>
                          <w:t xml:space="preserve">de </w:t>
                        </w:r>
                      </w:p>
                      <w:p w:rsidR="003476BB"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$300,000.00 (Tres cientos mil pesos 00/100 M.N.) para la implementación del programa de</w:t>
                        </w:r>
                      </w:p>
                      <w:p w:rsidR="003476BB" w:rsidRDefault="00EB7FC7"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Comedores C</w:t>
                        </w:r>
                        <w:r w:rsidR="003476BB">
                          <w:rPr>
                            <w:rFonts w:ascii="Calibri" w:hAnsi="Calibri" w:cs="Calibri"/>
                            <w:color w:val="000000"/>
                          </w:rPr>
                          <w:t>omunitarios.</w:t>
                        </w:r>
                      </w:p>
                      <w:p w:rsidR="003476BB" w:rsidRDefault="003476BB" w:rsidP="003476BB">
                        <w:pPr>
                          <w:autoSpaceDE w:val="0"/>
                          <w:autoSpaceDN w:val="0"/>
                          <w:adjustRightInd w:val="0"/>
                          <w:spacing w:after="0" w:line="240" w:lineRule="auto"/>
                          <w:jc w:val="both"/>
                          <w:rPr>
                            <w:rFonts w:ascii="Calibri" w:hAnsi="Calibri" w:cs="Calibri"/>
                            <w:color w:val="000000"/>
                          </w:rPr>
                        </w:pPr>
                      </w:p>
                      <w:p w:rsidR="003476BB" w:rsidRPr="003476BB" w:rsidRDefault="003476BB" w:rsidP="003476BB">
                        <w:pPr>
                          <w:autoSpaceDE w:val="0"/>
                          <w:autoSpaceDN w:val="0"/>
                          <w:adjustRightInd w:val="0"/>
                          <w:spacing w:after="0" w:line="240" w:lineRule="auto"/>
                          <w:jc w:val="both"/>
                          <w:rPr>
                            <w:rFonts w:ascii="Calibri" w:hAnsi="Calibri" w:cs="Calibri"/>
                            <w:b/>
                            <w:color w:val="000000"/>
                          </w:rPr>
                        </w:pPr>
                        <w:r w:rsidRPr="003476BB">
                          <w:rPr>
                            <w:rFonts w:ascii="Calibri" w:hAnsi="Calibri" w:cs="Calibri"/>
                            <w:b/>
                            <w:color w:val="000000"/>
                          </w:rPr>
                          <w:t>15.-Eventos posteriores al cierre.</w:t>
                        </w:r>
                      </w:p>
                      <w:p w:rsidR="00EB7FC7" w:rsidRDefault="003476BB" w:rsidP="003476BB">
                        <w:pPr>
                          <w:autoSpaceDE w:val="0"/>
                          <w:autoSpaceDN w:val="0"/>
                          <w:adjustRightInd w:val="0"/>
                          <w:spacing w:after="0" w:line="240" w:lineRule="auto"/>
                          <w:jc w:val="both"/>
                          <w:rPr>
                            <w:rFonts w:ascii="Calibri" w:hAnsi="Calibri" w:cs="Calibri"/>
                            <w:color w:val="000000"/>
                          </w:rPr>
                        </w:pPr>
                        <w:r w:rsidRPr="003476BB">
                          <w:rPr>
                            <w:rFonts w:ascii="Calibri" w:hAnsi="Calibri" w:cs="Calibri"/>
                            <w:color w:val="000000"/>
                          </w:rPr>
                          <w:t xml:space="preserve">Al cierre del ejercicio de2018,  queda pendiente la conciliación de los </w:t>
                        </w:r>
                        <w:r w:rsidR="00EB7FC7">
                          <w:rPr>
                            <w:rFonts w:ascii="Calibri" w:hAnsi="Calibri" w:cs="Calibri"/>
                            <w:color w:val="000000"/>
                          </w:rPr>
                          <w:t xml:space="preserve">bienes muebles </w:t>
                        </w:r>
                        <w:proofErr w:type="spellStart"/>
                        <w:r w:rsidR="00EB7FC7">
                          <w:rPr>
                            <w:rFonts w:ascii="Calibri" w:hAnsi="Calibri" w:cs="Calibri"/>
                            <w:color w:val="000000"/>
                          </w:rPr>
                          <w:t>desin</w:t>
                        </w:r>
                        <w:proofErr w:type="spellEnd"/>
                        <w:r w:rsidR="00EB7FC7">
                          <w:rPr>
                            <w:rFonts w:ascii="Calibri" w:hAnsi="Calibri" w:cs="Calibri"/>
                            <w:color w:val="000000"/>
                          </w:rPr>
                          <w:t>-</w:t>
                        </w:r>
                      </w:p>
                      <w:p w:rsidR="00EB7FC7" w:rsidRDefault="007A616A" w:rsidP="003476BB">
                        <w:pPr>
                          <w:autoSpaceDE w:val="0"/>
                          <w:autoSpaceDN w:val="0"/>
                          <w:adjustRightInd w:val="0"/>
                          <w:spacing w:after="0" w:line="240" w:lineRule="auto"/>
                          <w:jc w:val="both"/>
                          <w:rPr>
                            <w:rFonts w:ascii="Calibri" w:hAnsi="Calibri" w:cs="Calibri"/>
                            <w:color w:val="000000"/>
                          </w:rPr>
                        </w:pPr>
                        <w:proofErr w:type="spellStart"/>
                        <w:r>
                          <w:rPr>
                            <w:rFonts w:ascii="Calibri" w:hAnsi="Calibri" w:cs="Calibri"/>
                            <w:color w:val="000000"/>
                          </w:rPr>
                          <w:t>c</w:t>
                        </w:r>
                        <w:r w:rsidR="00EB7FC7">
                          <w:rPr>
                            <w:rFonts w:ascii="Calibri" w:hAnsi="Calibri" w:cs="Calibri"/>
                            <w:color w:val="000000"/>
                          </w:rPr>
                          <w:t>orporados</w:t>
                        </w:r>
                        <w:proofErr w:type="spellEnd"/>
                        <w:r w:rsidR="00EB7FC7">
                          <w:rPr>
                            <w:rFonts w:ascii="Calibri" w:hAnsi="Calibri" w:cs="Calibri"/>
                            <w:color w:val="000000"/>
                          </w:rPr>
                          <w:t xml:space="preserve"> </w:t>
                        </w:r>
                        <w:r w:rsidR="003476BB" w:rsidRPr="003476BB">
                          <w:rPr>
                            <w:rFonts w:ascii="Calibri" w:hAnsi="Calibri" w:cs="Calibri"/>
                            <w:color w:val="000000"/>
                          </w:rPr>
                          <w:t>contra los registros contables</w:t>
                        </w:r>
                        <w:r w:rsidR="00EB7FC7">
                          <w:rPr>
                            <w:rFonts w:ascii="Calibri" w:hAnsi="Calibri" w:cs="Calibri"/>
                            <w:color w:val="000000"/>
                          </w:rPr>
                          <w:t>,</w:t>
                        </w:r>
                        <w:r w:rsidR="003476BB" w:rsidRPr="003476BB">
                          <w:rPr>
                            <w:rFonts w:ascii="Calibri" w:hAnsi="Calibri" w:cs="Calibri"/>
                            <w:color w:val="000000"/>
                          </w:rPr>
                          <w:t xml:space="preserve"> y por ende la conciliación con las depreciaciones </w:t>
                        </w:r>
                      </w:p>
                      <w:p w:rsidR="003476BB" w:rsidRPr="003476BB" w:rsidRDefault="003476BB" w:rsidP="003476BB">
                        <w:pPr>
                          <w:autoSpaceDE w:val="0"/>
                          <w:autoSpaceDN w:val="0"/>
                          <w:adjustRightInd w:val="0"/>
                          <w:spacing w:after="0" w:line="240" w:lineRule="auto"/>
                          <w:jc w:val="both"/>
                          <w:rPr>
                            <w:rFonts w:ascii="Calibri" w:hAnsi="Calibri" w:cs="Calibri"/>
                            <w:color w:val="000000"/>
                          </w:rPr>
                        </w:pPr>
                        <w:proofErr w:type="gramStart"/>
                        <w:r w:rsidRPr="003476BB">
                          <w:rPr>
                            <w:rFonts w:ascii="Calibri" w:hAnsi="Calibri" w:cs="Calibri"/>
                            <w:color w:val="000000"/>
                          </w:rPr>
                          <w:t>contables</w:t>
                        </w:r>
                        <w:proofErr w:type="gramEnd"/>
                        <w:r w:rsidRPr="003476BB">
                          <w:rPr>
                            <w:rFonts w:ascii="Calibri" w:hAnsi="Calibri" w:cs="Calibri"/>
                            <w:color w:val="000000"/>
                          </w:rPr>
                          <w:t>.</w:t>
                        </w:r>
                      </w:p>
                      <w:p w:rsidR="00EB7FC7" w:rsidRDefault="00EB7FC7" w:rsidP="003476BB">
                        <w:pPr>
                          <w:autoSpaceDE w:val="0"/>
                          <w:autoSpaceDN w:val="0"/>
                          <w:adjustRightInd w:val="0"/>
                          <w:spacing w:after="0" w:line="240" w:lineRule="auto"/>
                          <w:jc w:val="both"/>
                          <w:rPr>
                            <w:rFonts w:ascii="Calibri" w:hAnsi="Calibri" w:cs="Calibri"/>
                            <w:color w:val="000000"/>
                          </w:rPr>
                        </w:pPr>
                      </w:p>
                      <w:p w:rsidR="003476BB" w:rsidRDefault="003476BB" w:rsidP="003476BB">
                        <w:pPr>
                          <w:autoSpaceDE w:val="0"/>
                          <w:autoSpaceDN w:val="0"/>
                          <w:adjustRightInd w:val="0"/>
                          <w:spacing w:after="0" w:line="240" w:lineRule="auto"/>
                          <w:jc w:val="both"/>
                          <w:rPr>
                            <w:rFonts w:ascii="Calibri" w:hAnsi="Calibri" w:cs="Calibri"/>
                            <w:color w:val="000000"/>
                          </w:rPr>
                        </w:pPr>
                        <w:r w:rsidRPr="003476BB">
                          <w:rPr>
                            <w:rFonts w:ascii="Calibri" w:hAnsi="Calibri" w:cs="Calibri"/>
                            <w:color w:val="000000"/>
                          </w:rPr>
                          <w:t>Se llevará a cabo la revalu</w:t>
                        </w:r>
                        <w:r w:rsidR="00B41788">
                          <w:rPr>
                            <w:rFonts w:ascii="Calibri" w:hAnsi="Calibri" w:cs="Calibri"/>
                            <w:color w:val="000000"/>
                          </w:rPr>
                          <w:t>a</w:t>
                        </w:r>
                        <w:r w:rsidRPr="003476BB">
                          <w:rPr>
                            <w:rFonts w:ascii="Calibri" w:hAnsi="Calibri" w:cs="Calibri"/>
                            <w:color w:val="000000"/>
                          </w:rPr>
                          <w:t>ción de bienes muebles e inmuebles que ya contaban con valor de</w:t>
                        </w:r>
                      </w:p>
                      <w:p w:rsidR="00EB7FC7" w:rsidRDefault="003476BB" w:rsidP="003476BB">
                        <w:pPr>
                          <w:autoSpaceDE w:val="0"/>
                          <w:autoSpaceDN w:val="0"/>
                          <w:adjustRightInd w:val="0"/>
                          <w:spacing w:after="0" w:line="240" w:lineRule="auto"/>
                          <w:jc w:val="both"/>
                          <w:rPr>
                            <w:rFonts w:ascii="Calibri" w:hAnsi="Calibri" w:cs="Calibri"/>
                            <w:color w:val="000000"/>
                          </w:rPr>
                        </w:pPr>
                        <w:r w:rsidRPr="003476BB">
                          <w:rPr>
                            <w:rFonts w:ascii="Calibri" w:hAnsi="Calibri" w:cs="Calibri"/>
                            <w:color w:val="000000"/>
                          </w:rPr>
                          <w:t>$1.00</w:t>
                        </w:r>
                      </w:p>
                      <w:p w:rsidR="00EB7FC7" w:rsidRDefault="00EB7FC7" w:rsidP="003476BB">
                        <w:pPr>
                          <w:autoSpaceDE w:val="0"/>
                          <w:autoSpaceDN w:val="0"/>
                          <w:adjustRightInd w:val="0"/>
                          <w:spacing w:after="0" w:line="240" w:lineRule="auto"/>
                          <w:jc w:val="both"/>
                          <w:rPr>
                            <w:rFonts w:ascii="Calibri" w:hAnsi="Calibri" w:cs="Calibri"/>
                            <w:color w:val="000000"/>
                          </w:rPr>
                        </w:pPr>
                      </w:p>
                      <w:p w:rsidR="00EB7FC7" w:rsidRDefault="007A616A"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La Secretaría de la Hacienda  pública </w:t>
                        </w:r>
                        <w:r w:rsidR="003476BB" w:rsidRPr="003476BB">
                          <w:rPr>
                            <w:rFonts w:ascii="Calibri" w:hAnsi="Calibri" w:cs="Calibri"/>
                            <w:color w:val="000000"/>
                          </w:rPr>
                          <w:t xml:space="preserve">del Gobierno del Estado </w:t>
                        </w:r>
                        <w:r w:rsidR="00EB7FC7">
                          <w:rPr>
                            <w:rFonts w:ascii="Calibri" w:hAnsi="Calibri" w:cs="Calibri"/>
                            <w:color w:val="000000"/>
                          </w:rPr>
                          <w:t xml:space="preserve">      </w:t>
                        </w:r>
                        <w:r w:rsidR="003476BB" w:rsidRPr="003476BB">
                          <w:rPr>
                            <w:rFonts w:ascii="Calibri" w:hAnsi="Calibri" w:cs="Calibri"/>
                            <w:color w:val="000000"/>
                          </w:rPr>
                          <w:t xml:space="preserve">adeuda </w:t>
                        </w:r>
                        <w:r w:rsidR="00EB7FC7">
                          <w:rPr>
                            <w:rFonts w:ascii="Calibri" w:hAnsi="Calibri" w:cs="Calibri"/>
                            <w:color w:val="000000"/>
                          </w:rPr>
                          <w:t xml:space="preserve">  </w:t>
                        </w:r>
                        <w:r w:rsidR="00111868">
                          <w:rPr>
                            <w:rFonts w:ascii="Calibri" w:hAnsi="Calibri" w:cs="Calibri"/>
                            <w:color w:val="000000"/>
                          </w:rPr>
                          <w:t xml:space="preserve">    </w:t>
                        </w:r>
                        <w:r w:rsidR="00EB7FC7">
                          <w:rPr>
                            <w:rFonts w:ascii="Calibri" w:hAnsi="Calibri" w:cs="Calibri"/>
                            <w:color w:val="000000"/>
                          </w:rPr>
                          <w:t xml:space="preserve"> </w:t>
                        </w:r>
                        <w:r w:rsidR="00111868">
                          <w:rPr>
                            <w:rFonts w:ascii="Calibri" w:hAnsi="Calibri" w:cs="Calibri"/>
                            <w:color w:val="000000"/>
                          </w:rPr>
                          <w:t xml:space="preserve"> </w:t>
                        </w:r>
                        <w:r w:rsidR="003476BB" w:rsidRPr="003476BB">
                          <w:rPr>
                            <w:rFonts w:ascii="Calibri" w:hAnsi="Calibri" w:cs="Calibri"/>
                            <w:color w:val="000000"/>
                          </w:rPr>
                          <w:t>a</w:t>
                        </w:r>
                        <w:r w:rsidR="00EB7FC7">
                          <w:rPr>
                            <w:rFonts w:ascii="Calibri" w:hAnsi="Calibri" w:cs="Calibri"/>
                            <w:color w:val="000000"/>
                          </w:rPr>
                          <w:t xml:space="preserve">  </w:t>
                        </w:r>
                        <w:r w:rsidR="00111868">
                          <w:rPr>
                            <w:rFonts w:ascii="Calibri" w:hAnsi="Calibri" w:cs="Calibri"/>
                            <w:color w:val="000000"/>
                          </w:rPr>
                          <w:t xml:space="preserve">                  </w:t>
                        </w:r>
                        <w:r w:rsidR="003476BB" w:rsidRPr="003476BB">
                          <w:rPr>
                            <w:rFonts w:ascii="Calibri" w:hAnsi="Calibri" w:cs="Calibri"/>
                            <w:color w:val="000000"/>
                          </w:rPr>
                          <w:t xml:space="preserve"> la</w:t>
                        </w:r>
                        <w:r w:rsidR="00EB7FC7">
                          <w:rPr>
                            <w:rFonts w:ascii="Calibri" w:hAnsi="Calibri" w:cs="Calibri"/>
                            <w:color w:val="000000"/>
                          </w:rPr>
                          <w:t xml:space="preserve">      </w:t>
                        </w:r>
                        <w:r w:rsidR="00111868">
                          <w:rPr>
                            <w:rFonts w:ascii="Calibri" w:hAnsi="Calibri" w:cs="Calibri"/>
                            <w:color w:val="000000"/>
                          </w:rPr>
                          <w:t xml:space="preserve">    </w:t>
                        </w:r>
                        <w:r w:rsidR="00EB7FC7">
                          <w:rPr>
                            <w:rFonts w:ascii="Calibri" w:hAnsi="Calibri" w:cs="Calibri"/>
                            <w:color w:val="000000"/>
                          </w:rPr>
                          <w:t xml:space="preserve"> </w:t>
                        </w:r>
                      </w:p>
                      <w:p w:rsidR="003476BB" w:rsidRDefault="00111868"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Institución la </w:t>
                        </w:r>
                        <w:r w:rsidR="003476BB" w:rsidRPr="003476BB">
                          <w:rPr>
                            <w:rFonts w:ascii="Calibri" w:hAnsi="Calibri" w:cs="Calibri"/>
                            <w:color w:val="000000"/>
                          </w:rPr>
                          <w:t>cantidad de: $290,160.00 ( Doscientos noventa mil ciento sesenta pesos 00/100 MN), por</w:t>
                        </w:r>
                      </w:p>
                      <w:p w:rsidR="003476BB" w:rsidRDefault="003476BB" w:rsidP="003476BB">
                        <w:pPr>
                          <w:autoSpaceDE w:val="0"/>
                          <w:autoSpaceDN w:val="0"/>
                          <w:adjustRightInd w:val="0"/>
                          <w:spacing w:after="0" w:line="240" w:lineRule="auto"/>
                          <w:jc w:val="both"/>
                          <w:rPr>
                            <w:rFonts w:ascii="Calibri" w:hAnsi="Calibri" w:cs="Calibri"/>
                            <w:color w:val="000000"/>
                          </w:rPr>
                        </w:pPr>
                        <w:proofErr w:type="gramStart"/>
                        <w:r w:rsidRPr="003476BB">
                          <w:rPr>
                            <w:rFonts w:ascii="Calibri" w:hAnsi="Calibri" w:cs="Calibri"/>
                            <w:color w:val="000000"/>
                          </w:rPr>
                          <w:t>concepto</w:t>
                        </w:r>
                        <w:proofErr w:type="gramEnd"/>
                        <w:r w:rsidRPr="003476BB">
                          <w:rPr>
                            <w:rFonts w:ascii="Calibri" w:hAnsi="Calibri" w:cs="Calibri"/>
                            <w:color w:val="000000"/>
                          </w:rPr>
                          <w:t xml:space="preserve"> </w:t>
                        </w:r>
                        <w:r w:rsidR="007A616A">
                          <w:rPr>
                            <w:rFonts w:ascii="Calibri" w:hAnsi="Calibri" w:cs="Calibri"/>
                            <w:color w:val="000000"/>
                          </w:rPr>
                          <w:t xml:space="preserve"> de</w:t>
                        </w:r>
                        <w:r w:rsidR="00EB7FC7">
                          <w:rPr>
                            <w:rFonts w:ascii="Calibri" w:hAnsi="Calibri" w:cs="Calibri"/>
                            <w:color w:val="000000"/>
                          </w:rPr>
                          <w:t xml:space="preserve"> Refrendos vehiculares del mes diciembre de</w:t>
                        </w:r>
                        <w:r w:rsidRPr="003476BB">
                          <w:rPr>
                            <w:rFonts w:ascii="Calibri" w:hAnsi="Calibri" w:cs="Calibri"/>
                            <w:color w:val="000000"/>
                          </w:rPr>
                          <w:t xml:space="preserve"> 2018</w:t>
                        </w:r>
                        <w:r>
                          <w:rPr>
                            <w:rFonts w:ascii="Calibri" w:hAnsi="Calibri" w:cs="Calibri"/>
                            <w:color w:val="000000"/>
                          </w:rPr>
                          <w:t>.</w:t>
                        </w:r>
                      </w:p>
                      <w:p w:rsidR="003476BB" w:rsidRDefault="003476BB" w:rsidP="003476BB">
                        <w:pPr>
                          <w:autoSpaceDE w:val="0"/>
                          <w:autoSpaceDN w:val="0"/>
                          <w:adjustRightInd w:val="0"/>
                          <w:spacing w:after="0" w:line="240" w:lineRule="auto"/>
                          <w:jc w:val="both"/>
                          <w:rPr>
                            <w:rFonts w:ascii="Calibri" w:hAnsi="Calibri" w:cs="Calibri"/>
                            <w:color w:val="000000"/>
                          </w:rPr>
                        </w:pPr>
                      </w:p>
                      <w:p w:rsidR="00EB7FC7" w:rsidRDefault="003476BB" w:rsidP="00777EBA">
                        <w:pPr>
                          <w:autoSpaceDE w:val="0"/>
                          <w:autoSpaceDN w:val="0"/>
                          <w:adjustRightInd w:val="0"/>
                          <w:spacing w:after="0" w:line="240" w:lineRule="auto"/>
                          <w:ind w:right="-51"/>
                          <w:jc w:val="both"/>
                          <w:rPr>
                            <w:rFonts w:ascii="Calibri" w:hAnsi="Calibri" w:cs="Calibri"/>
                            <w:bCs/>
                            <w:color w:val="000000"/>
                          </w:rPr>
                        </w:pPr>
                        <w:r w:rsidRPr="00777EBA">
                          <w:rPr>
                            <w:rFonts w:ascii="Calibri" w:hAnsi="Calibri" w:cs="Calibri"/>
                            <w:b/>
                            <w:color w:val="000000"/>
                          </w:rPr>
                          <w:t>16.- Partes relacionadas</w:t>
                        </w:r>
                        <w:r>
                          <w:rPr>
                            <w:rFonts w:ascii="Calibri" w:hAnsi="Calibri" w:cs="Calibri"/>
                            <w:color w:val="000000"/>
                          </w:rPr>
                          <w:t>.</w:t>
                        </w:r>
                        <w:r w:rsidRPr="003476BB">
                          <w:rPr>
                            <w:rFonts w:ascii="Calibri" w:hAnsi="Calibri" w:cs="Calibri"/>
                            <w:bCs/>
                            <w:color w:val="000000"/>
                          </w:rPr>
                          <w:t xml:space="preserve"> </w:t>
                        </w:r>
                      </w:p>
                      <w:p w:rsidR="00EB7FC7" w:rsidRDefault="003476BB" w:rsidP="00EB7FC7">
                        <w:pPr>
                          <w:autoSpaceDE w:val="0"/>
                          <w:autoSpaceDN w:val="0"/>
                          <w:adjustRightInd w:val="0"/>
                          <w:spacing w:after="0" w:line="240" w:lineRule="auto"/>
                          <w:ind w:right="-51"/>
                          <w:jc w:val="both"/>
                          <w:rPr>
                            <w:rFonts w:ascii="Calibri" w:hAnsi="Calibri" w:cs="Calibri"/>
                            <w:bCs/>
                            <w:color w:val="000000"/>
                          </w:rPr>
                        </w:pPr>
                        <w:r w:rsidRPr="003476BB">
                          <w:rPr>
                            <w:rFonts w:ascii="Calibri" w:hAnsi="Calibri" w:cs="Calibri"/>
                            <w:bCs/>
                            <w:color w:val="000000"/>
                          </w:rPr>
                          <w:t>El Hogar Cabañas para la adquisición de bienes muebles y  de consumo</w:t>
                        </w:r>
                        <w:r w:rsidR="00EB7FC7">
                          <w:rPr>
                            <w:rFonts w:ascii="Calibri" w:hAnsi="Calibri" w:cs="Calibri"/>
                            <w:bCs/>
                            <w:color w:val="000000"/>
                          </w:rPr>
                          <w:t xml:space="preserve">   </w:t>
                        </w:r>
                        <w:r w:rsidRPr="003476BB">
                          <w:rPr>
                            <w:rFonts w:ascii="Calibri" w:hAnsi="Calibri" w:cs="Calibri"/>
                            <w:bCs/>
                            <w:color w:val="000000"/>
                          </w:rPr>
                          <w:t xml:space="preserve"> no </w:t>
                        </w:r>
                        <w:r w:rsidR="00EB7FC7">
                          <w:rPr>
                            <w:rFonts w:ascii="Calibri" w:hAnsi="Calibri" w:cs="Calibri"/>
                            <w:bCs/>
                            <w:color w:val="000000"/>
                          </w:rPr>
                          <w:t xml:space="preserve">           </w:t>
                        </w:r>
                        <w:r w:rsidRPr="003476BB">
                          <w:rPr>
                            <w:rFonts w:ascii="Calibri" w:hAnsi="Calibri" w:cs="Calibri"/>
                            <w:bCs/>
                            <w:color w:val="000000"/>
                          </w:rPr>
                          <w:t xml:space="preserve">cuenta </w:t>
                        </w:r>
                      </w:p>
                      <w:p w:rsidR="00EB7FC7" w:rsidRDefault="003476BB" w:rsidP="00EB7FC7">
                        <w:pPr>
                          <w:autoSpaceDE w:val="0"/>
                          <w:autoSpaceDN w:val="0"/>
                          <w:adjustRightInd w:val="0"/>
                          <w:spacing w:after="0" w:line="240" w:lineRule="auto"/>
                          <w:ind w:right="-51"/>
                          <w:jc w:val="both"/>
                          <w:rPr>
                            <w:rFonts w:ascii="Calibri" w:hAnsi="Calibri" w:cs="Calibri"/>
                            <w:bCs/>
                            <w:color w:val="000000"/>
                          </w:rPr>
                        </w:pPr>
                        <w:r w:rsidRPr="003476BB">
                          <w:rPr>
                            <w:rFonts w:ascii="Calibri" w:hAnsi="Calibri" w:cs="Calibri"/>
                            <w:bCs/>
                            <w:color w:val="000000"/>
                          </w:rPr>
                          <w:t>con partes relacionadas que pudieran ejercer influencia sobre la</w:t>
                        </w:r>
                        <w:r w:rsidR="00EB7FC7">
                          <w:rPr>
                            <w:rFonts w:ascii="Calibri" w:hAnsi="Calibri" w:cs="Calibri"/>
                            <w:bCs/>
                            <w:color w:val="000000"/>
                          </w:rPr>
                          <w:t xml:space="preserve"> </w:t>
                        </w:r>
                        <w:r w:rsidRPr="003476BB">
                          <w:rPr>
                            <w:rFonts w:ascii="Calibri" w:hAnsi="Calibri" w:cs="Calibri"/>
                            <w:bCs/>
                            <w:color w:val="000000"/>
                          </w:rPr>
                          <w:t>toma de</w:t>
                        </w:r>
                        <w:r w:rsidR="00EB7FC7">
                          <w:rPr>
                            <w:rFonts w:ascii="Calibri" w:hAnsi="Calibri" w:cs="Calibri"/>
                            <w:bCs/>
                            <w:color w:val="000000"/>
                          </w:rPr>
                          <w:t xml:space="preserve">         </w:t>
                        </w:r>
                        <w:r w:rsidRPr="003476BB">
                          <w:rPr>
                            <w:rFonts w:ascii="Calibri" w:hAnsi="Calibri" w:cs="Calibri"/>
                            <w:bCs/>
                            <w:color w:val="000000"/>
                          </w:rPr>
                          <w:t xml:space="preserve"> decisiones </w:t>
                        </w:r>
                      </w:p>
                      <w:p w:rsidR="00EB7FC7" w:rsidRDefault="003476BB" w:rsidP="00EB7FC7">
                        <w:pPr>
                          <w:autoSpaceDE w:val="0"/>
                          <w:autoSpaceDN w:val="0"/>
                          <w:adjustRightInd w:val="0"/>
                          <w:spacing w:after="0" w:line="240" w:lineRule="auto"/>
                          <w:ind w:right="-51"/>
                          <w:jc w:val="both"/>
                          <w:rPr>
                            <w:rFonts w:ascii="Calibri" w:hAnsi="Calibri" w:cs="Calibri"/>
                            <w:bCs/>
                            <w:color w:val="000000"/>
                          </w:rPr>
                        </w:pPr>
                        <w:r w:rsidRPr="003476BB">
                          <w:rPr>
                            <w:rFonts w:ascii="Calibri" w:hAnsi="Calibri" w:cs="Calibri"/>
                            <w:bCs/>
                            <w:color w:val="000000"/>
                          </w:rPr>
                          <w:t>financieras y operativas, ya que las adquisiciones fueron llevadas a cabo de acuerdo a</w:t>
                        </w:r>
                        <w:r w:rsidR="00EB7FC7">
                          <w:rPr>
                            <w:rFonts w:ascii="Calibri" w:hAnsi="Calibri" w:cs="Calibri"/>
                            <w:bCs/>
                            <w:color w:val="000000"/>
                          </w:rPr>
                          <w:t xml:space="preserve">  </w:t>
                        </w:r>
                        <w:r w:rsidRPr="003476BB">
                          <w:rPr>
                            <w:rFonts w:ascii="Calibri" w:hAnsi="Calibri" w:cs="Calibri"/>
                            <w:bCs/>
                            <w:color w:val="000000"/>
                          </w:rPr>
                          <w:t xml:space="preserve"> la </w:t>
                        </w:r>
                        <w:r w:rsidR="00EB7FC7">
                          <w:rPr>
                            <w:rFonts w:ascii="Calibri" w:hAnsi="Calibri" w:cs="Calibri"/>
                            <w:bCs/>
                            <w:color w:val="000000"/>
                          </w:rPr>
                          <w:t xml:space="preserve"> </w:t>
                        </w:r>
                      </w:p>
                      <w:p w:rsidR="00EB7FC7" w:rsidRDefault="003476BB" w:rsidP="00EB7FC7">
                        <w:pPr>
                          <w:autoSpaceDE w:val="0"/>
                          <w:autoSpaceDN w:val="0"/>
                          <w:adjustRightInd w:val="0"/>
                          <w:spacing w:after="0" w:line="240" w:lineRule="auto"/>
                          <w:ind w:right="-51"/>
                          <w:jc w:val="both"/>
                          <w:rPr>
                            <w:rFonts w:ascii="Calibri" w:hAnsi="Calibri" w:cs="Calibri"/>
                            <w:bCs/>
                            <w:color w:val="000000"/>
                          </w:rPr>
                        </w:pPr>
                        <w:r w:rsidRPr="003476BB">
                          <w:rPr>
                            <w:rFonts w:ascii="Calibri" w:hAnsi="Calibri" w:cs="Calibri"/>
                            <w:bCs/>
                            <w:color w:val="000000"/>
                          </w:rPr>
                          <w:t>normativa de la Ley de compras Gubernamentales,</w:t>
                        </w:r>
                        <w:r w:rsidR="00EB7FC7">
                          <w:rPr>
                            <w:rFonts w:ascii="Calibri" w:hAnsi="Calibri" w:cs="Calibri"/>
                            <w:bCs/>
                            <w:color w:val="000000"/>
                          </w:rPr>
                          <w:t xml:space="preserve"> </w:t>
                        </w:r>
                        <w:r w:rsidRPr="003476BB">
                          <w:rPr>
                            <w:rFonts w:ascii="Calibri" w:hAnsi="Calibri" w:cs="Calibri"/>
                            <w:bCs/>
                            <w:color w:val="000000"/>
                          </w:rPr>
                          <w:t xml:space="preserve">enajenaciones y arrendamientos </w:t>
                        </w:r>
                        <w:r w:rsidR="00EB7FC7">
                          <w:rPr>
                            <w:rFonts w:ascii="Calibri" w:hAnsi="Calibri" w:cs="Calibri"/>
                            <w:bCs/>
                            <w:color w:val="000000"/>
                          </w:rPr>
                          <w:t xml:space="preserve">  </w:t>
                        </w:r>
                        <w:r w:rsidRPr="003476BB">
                          <w:rPr>
                            <w:rFonts w:ascii="Calibri" w:hAnsi="Calibri" w:cs="Calibri"/>
                            <w:bCs/>
                            <w:color w:val="000000"/>
                          </w:rPr>
                          <w:t xml:space="preserve">del </w:t>
                        </w:r>
                      </w:p>
                      <w:p w:rsidR="00EB7FC7" w:rsidRDefault="003476BB" w:rsidP="00EB7FC7">
                        <w:pPr>
                          <w:autoSpaceDE w:val="0"/>
                          <w:autoSpaceDN w:val="0"/>
                          <w:adjustRightInd w:val="0"/>
                          <w:spacing w:after="0" w:line="240" w:lineRule="auto"/>
                          <w:ind w:right="-51"/>
                          <w:jc w:val="both"/>
                          <w:rPr>
                            <w:rFonts w:ascii="Calibri" w:hAnsi="Calibri" w:cs="Calibri"/>
                            <w:bCs/>
                            <w:color w:val="000000"/>
                          </w:rPr>
                        </w:pPr>
                        <w:r w:rsidRPr="003476BB">
                          <w:rPr>
                            <w:rFonts w:ascii="Calibri" w:hAnsi="Calibri" w:cs="Calibri"/>
                            <w:bCs/>
                            <w:color w:val="000000"/>
                          </w:rPr>
                          <w:t>Gobierno del Estado de Jalisco y su reglamento, el cual</w:t>
                        </w:r>
                        <w:r w:rsidR="00EB7FC7">
                          <w:rPr>
                            <w:rFonts w:ascii="Calibri" w:hAnsi="Calibri" w:cs="Calibri"/>
                            <w:bCs/>
                            <w:color w:val="000000"/>
                          </w:rPr>
                          <w:t xml:space="preserve"> </w:t>
                        </w:r>
                        <w:r w:rsidRPr="003476BB">
                          <w:rPr>
                            <w:rFonts w:ascii="Calibri" w:hAnsi="Calibri" w:cs="Calibri"/>
                            <w:bCs/>
                            <w:color w:val="000000"/>
                          </w:rPr>
                          <w:t>obliga a</w:t>
                        </w:r>
                        <w:r w:rsidR="00EB7FC7">
                          <w:rPr>
                            <w:rFonts w:ascii="Calibri" w:hAnsi="Calibri" w:cs="Calibri"/>
                            <w:bCs/>
                            <w:color w:val="000000"/>
                          </w:rPr>
                          <w:t xml:space="preserve">      </w:t>
                        </w:r>
                        <w:r w:rsidRPr="003476BB">
                          <w:rPr>
                            <w:rFonts w:ascii="Calibri" w:hAnsi="Calibri" w:cs="Calibri"/>
                            <w:bCs/>
                            <w:color w:val="000000"/>
                          </w:rPr>
                          <w:t xml:space="preserve"> l</w:t>
                        </w:r>
                        <w:r w:rsidR="00EB7FC7">
                          <w:rPr>
                            <w:rFonts w:ascii="Calibri" w:hAnsi="Calibri" w:cs="Calibri"/>
                            <w:bCs/>
                            <w:color w:val="000000"/>
                          </w:rPr>
                          <w:t xml:space="preserve">a            </w:t>
                        </w:r>
                        <w:r w:rsidRPr="003476BB">
                          <w:rPr>
                            <w:rFonts w:ascii="Calibri" w:hAnsi="Calibri" w:cs="Calibri"/>
                            <w:bCs/>
                            <w:color w:val="000000"/>
                          </w:rPr>
                          <w:t xml:space="preserve">realización de </w:t>
                        </w:r>
                        <w:r w:rsidR="00EB7FC7">
                          <w:rPr>
                            <w:rFonts w:ascii="Calibri" w:hAnsi="Calibri" w:cs="Calibri"/>
                            <w:bCs/>
                            <w:color w:val="000000"/>
                          </w:rPr>
                          <w:t xml:space="preserve"> </w:t>
                        </w:r>
                      </w:p>
                      <w:p w:rsidR="00BC1445" w:rsidRDefault="003476BB" w:rsidP="00BC1445">
                        <w:pPr>
                          <w:autoSpaceDE w:val="0"/>
                          <w:autoSpaceDN w:val="0"/>
                          <w:adjustRightInd w:val="0"/>
                          <w:spacing w:after="0" w:line="240" w:lineRule="auto"/>
                          <w:ind w:right="-51"/>
                          <w:jc w:val="both"/>
                          <w:rPr>
                            <w:rFonts w:ascii="Calibri" w:hAnsi="Calibri" w:cs="Calibri"/>
                            <w:bCs/>
                            <w:color w:val="000000"/>
                          </w:rPr>
                        </w:pPr>
                        <w:r w:rsidRPr="003476BB">
                          <w:rPr>
                            <w:rFonts w:ascii="Calibri" w:hAnsi="Calibri" w:cs="Calibri"/>
                            <w:bCs/>
                            <w:color w:val="000000"/>
                          </w:rPr>
                          <w:t>Licitaciones Públicas avaladas por el Comité de adquisiciones, mismo que fue formado por</w:t>
                        </w:r>
                      </w:p>
                      <w:p w:rsidR="00BC1445" w:rsidRDefault="003476BB" w:rsidP="00BC1445">
                        <w:pPr>
                          <w:autoSpaceDE w:val="0"/>
                          <w:autoSpaceDN w:val="0"/>
                          <w:adjustRightInd w:val="0"/>
                          <w:spacing w:after="0" w:line="240" w:lineRule="auto"/>
                          <w:ind w:right="-51"/>
                          <w:jc w:val="both"/>
                          <w:rPr>
                            <w:rFonts w:ascii="Calibri" w:hAnsi="Calibri" w:cs="Calibri"/>
                            <w:bCs/>
                            <w:color w:val="000000"/>
                          </w:rPr>
                        </w:pPr>
                        <w:proofErr w:type="gramStart"/>
                        <w:r w:rsidRPr="003476BB">
                          <w:rPr>
                            <w:rFonts w:ascii="Calibri" w:hAnsi="Calibri" w:cs="Calibri"/>
                            <w:bCs/>
                            <w:color w:val="000000"/>
                          </w:rPr>
                          <w:t>personas</w:t>
                        </w:r>
                        <w:proofErr w:type="gramEnd"/>
                        <w:r w:rsidRPr="003476BB">
                          <w:rPr>
                            <w:rFonts w:ascii="Calibri" w:hAnsi="Calibri" w:cs="Calibri"/>
                            <w:bCs/>
                            <w:color w:val="000000"/>
                          </w:rPr>
                          <w:t xml:space="preserve"> de la sociedad civil, del Gobierno Central y del propio Hogar Cabañas.</w:t>
                        </w:r>
                      </w:p>
                      <w:p w:rsidR="00BC1445" w:rsidRDefault="00BC1445" w:rsidP="00BC1445">
                        <w:pPr>
                          <w:autoSpaceDE w:val="0"/>
                          <w:autoSpaceDN w:val="0"/>
                          <w:adjustRightInd w:val="0"/>
                          <w:spacing w:after="0" w:line="240" w:lineRule="auto"/>
                          <w:ind w:right="-51"/>
                          <w:jc w:val="both"/>
                          <w:rPr>
                            <w:rFonts w:ascii="Calibri" w:hAnsi="Calibri" w:cs="Calibri"/>
                            <w:bCs/>
                            <w:color w:val="000000"/>
                          </w:rPr>
                        </w:pPr>
                      </w:p>
                      <w:p w:rsidR="003476BB" w:rsidRDefault="003476BB" w:rsidP="00BC1445">
                        <w:pPr>
                          <w:autoSpaceDE w:val="0"/>
                          <w:autoSpaceDN w:val="0"/>
                          <w:adjustRightInd w:val="0"/>
                          <w:spacing w:after="0" w:line="240" w:lineRule="auto"/>
                          <w:ind w:right="-51"/>
                          <w:jc w:val="both"/>
                          <w:rPr>
                            <w:rFonts w:ascii="Calibri" w:hAnsi="Calibri" w:cs="Calibri"/>
                            <w:bCs/>
                            <w:color w:val="000000"/>
                          </w:rPr>
                        </w:pPr>
                        <w:r w:rsidRPr="003476BB">
                          <w:rPr>
                            <w:rFonts w:ascii="Calibri" w:hAnsi="Calibri" w:cs="Calibri"/>
                            <w:bCs/>
                            <w:color w:val="000000"/>
                          </w:rPr>
                          <w:t>De igual forma no existieron partes relacionadas en la toma de decisiones operativas.</w:t>
                        </w:r>
                      </w:p>
                      <w:p w:rsidR="003476BB" w:rsidRDefault="003476BB" w:rsidP="003476BB">
                        <w:pPr>
                          <w:autoSpaceDE w:val="0"/>
                          <w:autoSpaceDN w:val="0"/>
                          <w:adjustRightInd w:val="0"/>
                          <w:spacing w:after="0" w:line="240" w:lineRule="auto"/>
                          <w:jc w:val="both"/>
                          <w:rPr>
                            <w:rFonts w:ascii="Calibri" w:hAnsi="Calibri" w:cs="Calibri"/>
                            <w:bCs/>
                            <w:color w:val="000000"/>
                          </w:rPr>
                        </w:pPr>
                      </w:p>
                      <w:p w:rsidR="00561E15" w:rsidRDefault="003476BB" w:rsidP="003476BB">
                        <w:pPr>
                          <w:autoSpaceDE w:val="0"/>
                          <w:autoSpaceDN w:val="0"/>
                          <w:adjustRightInd w:val="0"/>
                          <w:spacing w:after="0" w:line="240" w:lineRule="auto"/>
                          <w:jc w:val="both"/>
                          <w:rPr>
                            <w:rFonts w:ascii="Calibri" w:hAnsi="Calibri" w:cs="Calibri"/>
                            <w:b/>
                            <w:bCs/>
                            <w:color w:val="000000"/>
                          </w:rPr>
                        </w:pPr>
                        <w:r w:rsidRPr="003476BB">
                          <w:rPr>
                            <w:rFonts w:ascii="Calibri" w:hAnsi="Calibri" w:cs="Calibri"/>
                            <w:b/>
                            <w:bCs/>
                            <w:color w:val="000000"/>
                          </w:rPr>
                          <w:t>17.-Responsibilidad sobre la presentación razonable de la información contable.</w:t>
                        </w:r>
                      </w:p>
                      <w:p w:rsidR="003476BB" w:rsidRDefault="003476BB" w:rsidP="003476BB">
                        <w:pPr>
                          <w:autoSpaceDE w:val="0"/>
                          <w:autoSpaceDN w:val="0"/>
                          <w:adjustRightInd w:val="0"/>
                          <w:spacing w:after="0" w:line="240" w:lineRule="auto"/>
                          <w:jc w:val="both"/>
                          <w:rPr>
                            <w:rFonts w:ascii="Calibri" w:hAnsi="Calibri" w:cs="Calibri"/>
                            <w:color w:val="000000"/>
                          </w:rPr>
                        </w:pPr>
                        <w:r w:rsidRPr="003476BB">
                          <w:rPr>
                            <w:rFonts w:ascii="Calibri" w:hAnsi="Calibri" w:cs="Calibri"/>
                            <w:color w:val="000000"/>
                          </w:rPr>
                          <w:t xml:space="preserve"> Declaramos bajo protesta de decir verdad que los Estados Financieros y sus notas son</w:t>
                        </w:r>
                      </w:p>
                      <w:p w:rsidR="003476BB" w:rsidRDefault="003476BB" w:rsidP="003476BB">
                        <w:pPr>
                          <w:autoSpaceDE w:val="0"/>
                          <w:autoSpaceDN w:val="0"/>
                          <w:adjustRightInd w:val="0"/>
                          <w:spacing w:after="0" w:line="240" w:lineRule="auto"/>
                          <w:jc w:val="both"/>
                          <w:rPr>
                            <w:rFonts w:ascii="Calibri" w:hAnsi="Calibri" w:cs="Calibri"/>
                            <w:color w:val="000000"/>
                          </w:rPr>
                        </w:pPr>
                        <w:r w:rsidRPr="003476BB">
                          <w:rPr>
                            <w:rFonts w:ascii="Calibri" w:hAnsi="Calibri" w:cs="Calibri"/>
                            <w:color w:val="000000"/>
                          </w:rPr>
                          <w:t xml:space="preserve"> </w:t>
                        </w:r>
                        <w:proofErr w:type="gramStart"/>
                        <w:r w:rsidRPr="003476BB">
                          <w:rPr>
                            <w:rFonts w:ascii="Calibri" w:hAnsi="Calibri" w:cs="Calibri"/>
                            <w:color w:val="000000"/>
                          </w:rPr>
                          <w:t>razonablemente</w:t>
                        </w:r>
                        <w:proofErr w:type="gramEnd"/>
                        <w:r w:rsidRPr="003476BB">
                          <w:rPr>
                            <w:rFonts w:ascii="Calibri" w:hAnsi="Calibri" w:cs="Calibri"/>
                            <w:color w:val="000000"/>
                          </w:rPr>
                          <w:t xml:space="preserve"> correctos y son responsabilidad del emisor.</w:t>
                        </w:r>
                      </w:p>
                      <w:p w:rsidR="00022F34" w:rsidRDefault="00022F34" w:rsidP="003476BB">
                        <w:pPr>
                          <w:autoSpaceDE w:val="0"/>
                          <w:autoSpaceDN w:val="0"/>
                          <w:adjustRightInd w:val="0"/>
                          <w:spacing w:after="0" w:line="240" w:lineRule="auto"/>
                          <w:jc w:val="both"/>
                          <w:rPr>
                            <w:rFonts w:ascii="Calibri" w:hAnsi="Calibri" w:cs="Calibri"/>
                            <w:color w:val="000000"/>
                          </w:rPr>
                        </w:pPr>
                      </w:p>
                      <w:p w:rsidR="00022F34" w:rsidRDefault="00022F34" w:rsidP="003476BB">
                        <w:pPr>
                          <w:autoSpaceDE w:val="0"/>
                          <w:autoSpaceDN w:val="0"/>
                          <w:adjustRightInd w:val="0"/>
                          <w:spacing w:after="0" w:line="240" w:lineRule="auto"/>
                          <w:jc w:val="both"/>
                          <w:rPr>
                            <w:rFonts w:ascii="Calibri" w:hAnsi="Calibri" w:cs="Calibri"/>
                            <w:color w:val="000000"/>
                          </w:rPr>
                        </w:pPr>
                      </w:p>
                      <w:p w:rsidR="00022F34" w:rsidRDefault="00022F34" w:rsidP="003476BB">
                        <w:pPr>
                          <w:autoSpaceDE w:val="0"/>
                          <w:autoSpaceDN w:val="0"/>
                          <w:adjustRightInd w:val="0"/>
                          <w:spacing w:after="0" w:line="240" w:lineRule="auto"/>
                          <w:jc w:val="both"/>
                          <w:rPr>
                            <w:rFonts w:ascii="Calibri" w:hAnsi="Calibri" w:cs="Calibri"/>
                            <w:color w:val="000000"/>
                          </w:rPr>
                        </w:pPr>
                      </w:p>
                      <w:p w:rsidR="00022F34" w:rsidRDefault="00022F34" w:rsidP="003476BB">
                        <w:pPr>
                          <w:autoSpaceDE w:val="0"/>
                          <w:autoSpaceDN w:val="0"/>
                          <w:adjustRightInd w:val="0"/>
                          <w:spacing w:after="0" w:line="240" w:lineRule="auto"/>
                          <w:jc w:val="both"/>
                          <w:rPr>
                            <w:rFonts w:ascii="Calibri" w:hAnsi="Calibri" w:cs="Calibri"/>
                            <w:color w:val="000000"/>
                          </w:rPr>
                        </w:pPr>
                      </w:p>
                      <w:p w:rsidR="00022F34" w:rsidRPr="003476BB" w:rsidRDefault="00022F34" w:rsidP="003476BB">
                        <w:pPr>
                          <w:autoSpaceDE w:val="0"/>
                          <w:autoSpaceDN w:val="0"/>
                          <w:adjustRightInd w:val="0"/>
                          <w:spacing w:after="0" w:line="240" w:lineRule="auto"/>
                          <w:jc w:val="both"/>
                          <w:rPr>
                            <w:rFonts w:ascii="Calibri" w:hAnsi="Calibri" w:cs="Calibri"/>
                            <w:color w:val="00000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43"/>
                          <w:gridCol w:w="4543"/>
                        </w:tblGrid>
                        <w:tr w:rsidR="00022F34" w:rsidTr="00022F34">
                          <w:tc>
                            <w:tcPr>
                              <w:tcW w:w="4543" w:type="dxa"/>
                            </w:tcPr>
                            <w:p w:rsidR="00022F34" w:rsidRPr="00022F34" w:rsidRDefault="00022F34" w:rsidP="00022F34">
                              <w:pPr>
                                <w:autoSpaceDE w:val="0"/>
                                <w:autoSpaceDN w:val="0"/>
                                <w:adjustRightInd w:val="0"/>
                                <w:jc w:val="center"/>
                                <w:rPr>
                                  <w:rFonts w:ascii="Calibri" w:hAnsi="Calibri" w:cs="Calibri"/>
                                  <w:b/>
                                  <w:color w:val="000000"/>
                                </w:rPr>
                              </w:pPr>
                              <w:r w:rsidRPr="00022F34">
                                <w:rPr>
                                  <w:rFonts w:ascii="Calibri" w:hAnsi="Calibri" w:cs="Calibri"/>
                                  <w:b/>
                                  <w:color w:val="000000"/>
                                </w:rPr>
                                <w:t>Nombre de quien autoriza.</w:t>
                              </w:r>
                            </w:p>
                            <w:p w:rsidR="00022F34" w:rsidRPr="00022F34" w:rsidRDefault="00022F34" w:rsidP="00022F34">
                              <w:pPr>
                                <w:autoSpaceDE w:val="0"/>
                                <w:autoSpaceDN w:val="0"/>
                                <w:adjustRightInd w:val="0"/>
                                <w:jc w:val="center"/>
                                <w:rPr>
                                  <w:rFonts w:ascii="Calibri" w:hAnsi="Calibri" w:cs="Calibri"/>
                                  <w:b/>
                                  <w:color w:val="000000"/>
                                </w:rPr>
                              </w:pPr>
                              <w:r w:rsidRPr="00022F34">
                                <w:rPr>
                                  <w:rFonts w:ascii="Calibri" w:hAnsi="Calibri" w:cs="Calibri"/>
                                  <w:b/>
                                  <w:color w:val="000000"/>
                                </w:rPr>
                                <w:t>Lic. Elizabeth González Gutiérrez.</w:t>
                              </w:r>
                            </w:p>
                            <w:p w:rsidR="00022F34" w:rsidRPr="00022F34" w:rsidRDefault="00022F34" w:rsidP="00022F34">
                              <w:pPr>
                                <w:autoSpaceDE w:val="0"/>
                                <w:autoSpaceDN w:val="0"/>
                                <w:adjustRightInd w:val="0"/>
                                <w:jc w:val="center"/>
                                <w:rPr>
                                  <w:rFonts w:ascii="Calibri" w:hAnsi="Calibri" w:cs="Calibri"/>
                                  <w:b/>
                                  <w:color w:val="000000"/>
                                </w:rPr>
                              </w:pPr>
                              <w:r w:rsidRPr="00022F34">
                                <w:rPr>
                                  <w:rFonts w:ascii="Calibri" w:hAnsi="Calibri" w:cs="Calibri"/>
                                  <w:b/>
                                  <w:color w:val="000000"/>
                                </w:rPr>
                                <w:t>Directora General</w:t>
                              </w:r>
                            </w:p>
                            <w:p w:rsidR="00022F34" w:rsidRPr="00022F34" w:rsidRDefault="00022F34" w:rsidP="00022F34">
                              <w:pPr>
                                <w:autoSpaceDE w:val="0"/>
                                <w:autoSpaceDN w:val="0"/>
                                <w:adjustRightInd w:val="0"/>
                                <w:jc w:val="center"/>
                                <w:rPr>
                                  <w:rFonts w:ascii="Calibri" w:hAnsi="Calibri" w:cs="Calibri"/>
                                  <w:b/>
                                  <w:color w:val="000000"/>
                                </w:rPr>
                              </w:pPr>
                            </w:p>
                          </w:tc>
                          <w:tc>
                            <w:tcPr>
                              <w:tcW w:w="4543" w:type="dxa"/>
                            </w:tcPr>
                            <w:p w:rsidR="00022F34" w:rsidRPr="00022F34" w:rsidRDefault="00022F34" w:rsidP="00022F34">
                              <w:pPr>
                                <w:autoSpaceDE w:val="0"/>
                                <w:autoSpaceDN w:val="0"/>
                                <w:adjustRightInd w:val="0"/>
                                <w:jc w:val="center"/>
                                <w:rPr>
                                  <w:rFonts w:ascii="Calibri" w:hAnsi="Calibri" w:cs="Calibri"/>
                                  <w:b/>
                                  <w:color w:val="000000"/>
                                </w:rPr>
                              </w:pPr>
                              <w:r w:rsidRPr="00022F34">
                                <w:rPr>
                                  <w:rFonts w:ascii="Calibri" w:hAnsi="Calibri" w:cs="Calibri"/>
                                  <w:b/>
                                  <w:color w:val="000000"/>
                                </w:rPr>
                                <w:t>Nombre de quien elabora</w:t>
                              </w:r>
                            </w:p>
                            <w:p w:rsidR="00022F34" w:rsidRPr="00022F34" w:rsidRDefault="00022F34" w:rsidP="00022F34">
                              <w:pPr>
                                <w:autoSpaceDE w:val="0"/>
                                <w:autoSpaceDN w:val="0"/>
                                <w:adjustRightInd w:val="0"/>
                                <w:jc w:val="center"/>
                                <w:rPr>
                                  <w:rFonts w:ascii="Calibri" w:hAnsi="Calibri" w:cs="Calibri"/>
                                  <w:b/>
                                  <w:color w:val="000000"/>
                                </w:rPr>
                              </w:pPr>
                              <w:r w:rsidRPr="00022F34">
                                <w:rPr>
                                  <w:rFonts w:ascii="Calibri" w:hAnsi="Calibri" w:cs="Calibri"/>
                                  <w:b/>
                                  <w:color w:val="000000"/>
                                </w:rPr>
                                <w:t>L.C.P. Gerardo Garavito Aguirre.</w:t>
                              </w:r>
                            </w:p>
                            <w:p w:rsidR="00022F34" w:rsidRPr="00022F34" w:rsidRDefault="00022F34" w:rsidP="00022F34">
                              <w:pPr>
                                <w:autoSpaceDE w:val="0"/>
                                <w:autoSpaceDN w:val="0"/>
                                <w:adjustRightInd w:val="0"/>
                                <w:jc w:val="center"/>
                                <w:rPr>
                                  <w:rFonts w:ascii="Calibri" w:hAnsi="Calibri" w:cs="Calibri"/>
                                  <w:b/>
                                  <w:bCs/>
                                  <w:color w:val="000000"/>
                                </w:rPr>
                              </w:pPr>
                              <w:r w:rsidRPr="00022F34">
                                <w:rPr>
                                  <w:rFonts w:ascii="Calibri" w:hAnsi="Calibri" w:cs="Calibri"/>
                                  <w:b/>
                                  <w:color w:val="000000"/>
                                </w:rPr>
                                <w:t>Coord. Depto. De Contabilidad.</w:t>
                              </w:r>
                            </w:p>
                            <w:p w:rsidR="00022F34" w:rsidRPr="00022F34" w:rsidRDefault="00022F34" w:rsidP="00022F34">
                              <w:pPr>
                                <w:autoSpaceDE w:val="0"/>
                                <w:autoSpaceDN w:val="0"/>
                                <w:adjustRightInd w:val="0"/>
                                <w:jc w:val="center"/>
                                <w:rPr>
                                  <w:rFonts w:ascii="Calibri" w:hAnsi="Calibri" w:cs="Calibri"/>
                                  <w:b/>
                                  <w:color w:val="000000"/>
                                </w:rPr>
                              </w:pPr>
                            </w:p>
                          </w:tc>
                        </w:tr>
                      </w:tbl>
                      <w:p w:rsidR="007A616A" w:rsidRDefault="007A616A" w:rsidP="003476BB">
                        <w:pPr>
                          <w:autoSpaceDE w:val="0"/>
                          <w:autoSpaceDN w:val="0"/>
                          <w:adjustRightInd w:val="0"/>
                          <w:spacing w:after="0" w:line="240" w:lineRule="auto"/>
                          <w:jc w:val="center"/>
                          <w:rPr>
                            <w:rFonts w:ascii="Calibri" w:hAnsi="Calibri" w:cs="Calibri"/>
                            <w:color w:val="000000"/>
                          </w:rPr>
                        </w:pPr>
                      </w:p>
                      <w:p w:rsidR="003476BB" w:rsidRPr="003476BB" w:rsidRDefault="003476BB" w:rsidP="003476BB">
                        <w:pPr>
                          <w:autoSpaceDE w:val="0"/>
                          <w:autoSpaceDN w:val="0"/>
                          <w:adjustRightInd w:val="0"/>
                          <w:spacing w:after="0" w:line="240" w:lineRule="auto"/>
                          <w:jc w:val="center"/>
                          <w:rPr>
                            <w:rFonts w:ascii="Calibri" w:hAnsi="Calibri" w:cs="Calibri"/>
                            <w:color w:val="000000"/>
                          </w:rPr>
                        </w:pPr>
                      </w:p>
                      <w:p w:rsidR="003476BB" w:rsidRPr="003476BB" w:rsidRDefault="003476BB" w:rsidP="003476BB">
                        <w:pPr>
                          <w:autoSpaceDE w:val="0"/>
                          <w:autoSpaceDN w:val="0"/>
                          <w:adjustRightInd w:val="0"/>
                          <w:spacing w:after="0" w:line="240" w:lineRule="auto"/>
                          <w:jc w:val="center"/>
                          <w:rPr>
                            <w:rFonts w:ascii="Calibri" w:hAnsi="Calibri" w:cs="Calibri"/>
                            <w:color w:val="000000"/>
                          </w:rPr>
                        </w:pPr>
                      </w:p>
                      <w:p w:rsidR="003476BB" w:rsidRPr="003476BB" w:rsidRDefault="003476BB" w:rsidP="003476BB">
                        <w:pPr>
                          <w:autoSpaceDE w:val="0"/>
                          <w:autoSpaceDN w:val="0"/>
                          <w:adjustRightInd w:val="0"/>
                          <w:spacing w:after="0" w:line="240" w:lineRule="auto"/>
                          <w:rPr>
                            <w:rFonts w:ascii="Calibri" w:hAnsi="Calibri" w:cs="Calibri"/>
                            <w:b/>
                            <w:bCs/>
                            <w:color w:val="000000"/>
                          </w:rPr>
                        </w:pPr>
                      </w:p>
                      <w:p w:rsidR="003476BB" w:rsidRPr="003476BB" w:rsidRDefault="003476BB" w:rsidP="003476BB">
                        <w:pPr>
                          <w:autoSpaceDE w:val="0"/>
                          <w:autoSpaceDN w:val="0"/>
                          <w:adjustRightInd w:val="0"/>
                          <w:spacing w:after="0" w:line="240" w:lineRule="auto"/>
                          <w:jc w:val="both"/>
                          <w:rPr>
                            <w:rFonts w:ascii="Calibri" w:hAnsi="Calibri" w:cs="Calibri"/>
                            <w:color w:val="000000"/>
                          </w:rPr>
                        </w:pPr>
                      </w:p>
                      <w:p w:rsidR="003476BB" w:rsidRPr="003476BB" w:rsidRDefault="003476BB" w:rsidP="003476BB">
                        <w:pPr>
                          <w:autoSpaceDE w:val="0"/>
                          <w:autoSpaceDN w:val="0"/>
                          <w:adjustRightInd w:val="0"/>
                          <w:spacing w:after="0" w:line="240" w:lineRule="auto"/>
                          <w:jc w:val="both"/>
                          <w:rPr>
                            <w:rFonts w:ascii="Calibri" w:hAnsi="Calibri" w:cs="Calibri"/>
                            <w:color w:val="000000"/>
                          </w:rPr>
                        </w:pPr>
                      </w:p>
                      <w:p w:rsidR="003476BB" w:rsidRDefault="003476BB" w:rsidP="003476BB">
                        <w:pPr>
                          <w:autoSpaceDE w:val="0"/>
                          <w:autoSpaceDN w:val="0"/>
                          <w:adjustRightInd w:val="0"/>
                          <w:spacing w:after="0" w:line="240" w:lineRule="auto"/>
                          <w:jc w:val="both"/>
                          <w:rPr>
                            <w:rFonts w:ascii="Calibri" w:hAnsi="Calibri" w:cs="Calibri"/>
                            <w:color w:val="000000"/>
                          </w:rPr>
                        </w:pPr>
                      </w:p>
                    </w:tc>
                  </w:tr>
                  <w:tr w:rsidR="003476BB" w:rsidTr="000441E1">
                    <w:trPr>
                      <w:gridAfter w:val="1"/>
                      <w:wAfter w:w="4819" w:type="dxa"/>
                      <w:trHeight w:val="290"/>
                    </w:trPr>
                    <w:tc>
                      <w:tcPr>
                        <w:tcW w:w="4417" w:type="dxa"/>
                        <w:tcBorders>
                          <w:top w:val="nil"/>
                          <w:left w:val="nil"/>
                          <w:bottom w:val="nil"/>
                          <w:right w:val="nil"/>
                        </w:tcBorders>
                      </w:tcPr>
                      <w:p w:rsidR="003476BB" w:rsidRDefault="003476BB" w:rsidP="003476BB">
                        <w:pPr>
                          <w:autoSpaceDE w:val="0"/>
                          <w:autoSpaceDN w:val="0"/>
                          <w:adjustRightInd w:val="0"/>
                          <w:spacing w:after="0" w:line="240" w:lineRule="auto"/>
                          <w:rPr>
                            <w:rFonts w:ascii="Calibri" w:hAnsi="Calibri" w:cs="Calibri"/>
                            <w:b/>
                            <w:bCs/>
                            <w:color w:val="000000"/>
                          </w:rPr>
                        </w:pPr>
                      </w:p>
                    </w:tc>
                  </w:tr>
                </w:tbl>
                <w:p w:rsidR="003476BB" w:rsidRPr="003476BB" w:rsidRDefault="003476BB" w:rsidP="007E3523">
                  <w:pPr>
                    <w:autoSpaceDE w:val="0"/>
                    <w:autoSpaceDN w:val="0"/>
                    <w:adjustRightInd w:val="0"/>
                    <w:spacing w:after="0" w:line="240" w:lineRule="auto"/>
                    <w:jc w:val="both"/>
                    <w:rPr>
                      <w:rFonts w:ascii="Calibri" w:hAnsi="Calibri" w:cs="Calibri"/>
                      <w:b/>
                      <w:color w:val="000000"/>
                    </w:rPr>
                  </w:pPr>
                </w:p>
                <w:p w:rsidR="004E1911" w:rsidRDefault="004E1911" w:rsidP="007E3523">
                  <w:pPr>
                    <w:autoSpaceDE w:val="0"/>
                    <w:autoSpaceDN w:val="0"/>
                    <w:adjustRightInd w:val="0"/>
                    <w:spacing w:after="0" w:line="240" w:lineRule="auto"/>
                    <w:jc w:val="both"/>
                    <w:rPr>
                      <w:rFonts w:ascii="Calibri" w:hAnsi="Calibri" w:cs="Calibri"/>
                      <w:color w:val="000000"/>
                    </w:rPr>
                  </w:pPr>
                </w:p>
                <w:p w:rsidR="004E1911" w:rsidRDefault="004E1911" w:rsidP="007E3523">
                  <w:pPr>
                    <w:autoSpaceDE w:val="0"/>
                    <w:autoSpaceDN w:val="0"/>
                    <w:adjustRightInd w:val="0"/>
                    <w:spacing w:after="0" w:line="240" w:lineRule="auto"/>
                    <w:jc w:val="both"/>
                    <w:rPr>
                      <w:rFonts w:ascii="Calibri" w:hAnsi="Calibri" w:cs="Calibri"/>
                      <w:color w:val="000000"/>
                    </w:rPr>
                  </w:pPr>
                </w:p>
                <w:p w:rsidR="004E1911" w:rsidRDefault="004E1911" w:rsidP="007E3523">
                  <w:pPr>
                    <w:autoSpaceDE w:val="0"/>
                    <w:autoSpaceDN w:val="0"/>
                    <w:adjustRightInd w:val="0"/>
                    <w:spacing w:after="0" w:line="240" w:lineRule="auto"/>
                    <w:jc w:val="both"/>
                    <w:rPr>
                      <w:rFonts w:ascii="Calibri" w:hAnsi="Calibri" w:cs="Calibri"/>
                      <w:color w:val="000000"/>
                    </w:rPr>
                  </w:pPr>
                </w:p>
                <w:p w:rsidR="004E1911" w:rsidRPr="007E3523" w:rsidRDefault="004E1911" w:rsidP="007E3523">
                  <w:pPr>
                    <w:autoSpaceDE w:val="0"/>
                    <w:autoSpaceDN w:val="0"/>
                    <w:adjustRightInd w:val="0"/>
                    <w:spacing w:after="0" w:line="240" w:lineRule="auto"/>
                    <w:jc w:val="both"/>
                    <w:rPr>
                      <w:rFonts w:ascii="Calibri" w:hAnsi="Calibri" w:cs="Calibri"/>
                      <w:color w:val="000000"/>
                    </w:rPr>
                  </w:pPr>
                </w:p>
              </w:tc>
              <w:tc>
                <w:tcPr>
                  <w:tcW w:w="2949" w:type="dxa"/>
                </w:tcPr>
                <w:p w:rsidR="007E3523" w:rsidRPr="007E3523" w:rsidRDefault="007E3523" w:rsidP="007E3523">
                  <w:pPr>
                    <w:autoSpaceDE w:val="0"/>
                    <w:autoSpaceDN w:val="0"/>
                    <w:adjustRightInd w:val="0"/>
                    <w:spacing w:after="0" w:line="240" w:lineRule="auto"/>
                    <w:jc w:val="right"/>
                    <w:rPr>
                      <w:rFonts w:ascii="Calibri" w:hAnsi="Calibri" w:cs="Calibri"/>
                      <w:color w:val="000000"/>
                    </w:rPr>
                  </w:pPr>
                </w:p>
              </w:tc>
              <w:tc>
                <w:tcPr>
                  <w:tcW w:w="2949" w:type="dxa"/>
                </w:tcPr>
                <w:p w:rsidR="007E3523" w:rsidRPr="007E3523" w:rsidRDefault="007E3523" w:rsidP="007E3523">
                  <w:pPr>
                    <w:autoSpaceDE w:val="0"/>
                    <w:autoSpaceDN w:val="0"/>
                    <w:adjustRightInd w:val="0"/>
                    <w:spacing w:after="0" w:line="240" w:lineRule="auto"/>
                    <w:jc w:val="right"/>
                    <w:rPr>
                      <w:rFonts w:ascii="Calibri" w:hAnsi="Calibri" w:cs="Calibri"/>
                      <w:color w:val="000000"/>
                    </w:rPr>
                  </w:pPr>
                </w:p>
              </w:tc>
            </w:tr>
          </w:tbl>
          <w:p w:rsidR="00D06559" w:rsidRPr="007E3523" w:rsidRDefault="00D06559" w:rsidP="00AD1DCF">
            <w:pPr>
              <w:autoSpaceDE w:val="0"/>
              <w:autoSpaceDN w:val="0"/>
              <w:adjustRightInd w:val="0"/>
              <w:spacing w:after="0" w:line="240" w:lineRule="auto"/>
              <w:jc w:val="both"/>
              <w:rPr>
                <w:rFonts w:ascii="Calibri" w:hAnsi="Calibri" w:cs="Calibri"/>
                <w:b/>
                <w:bCs/>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D06559" w:rsidRPr="002E7325" w:rsidRDefault="00D06559" w:rsidP="00AD1DCF">
            <w:pPr>
              <w:autoSpaceDE w:val="0"/>
              <w:autoSpaceDN w:val="0"/>
              <w:adjustRightInd w:val="0"/>
              <w:spacing w:after="0" w:line="240" w:lineRule="auto"/>
              <w:jc w:val="both"/>
              <w:rPr>
                <w:rFonts w:ascii="Calibri" w:hAnsi="Calibri" w:cs="Calibri"/>
                <w:color w:val="000000"/>
              </w:rPr>
            </w:pPr>
          </w:p>
        </w:tc>
      </w:tr>
      <w:tr w:rsidR="00C85CAF" w:rsidTr="00AB3902">
        <w:trPr>
          <w:gridAfter w:val="6"/>
          <w:wAfter w:w="8294" w:type="dxa"/>
          <w:trHeight w:val="290"/>
        </w:trPr>
        <w:tc>
          <w:tcPr>
            <w:tcW w:w="1656" w:type="dxa"/>
            <w:tcBorders>
              <w:top w:val="nil"/>
              <w:left w:val="nil"/>
              <w:bottom w:val="nil"/>
              <w:right w:val="nil"/>
            </w:tcBorders>
          </w:tcPr>
          <w:p w:rsidR="00C85CAF" w:rsidRDefault="004E1911" w:rsidP="00C42F21">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   </w:t>
            </w: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p>
        </w:tc>
      </w:tr>
      <w:tr w:rsidR="00C85CAF" w:rsidTr="00AB3902">
        <w:trPr>
          <w:gridAfter w:val="3"/>
          <w:wAfter w:w="3877" w:type="dxa"/>
          <w:trHeight w:val="290"/>
        </w:trPr>
        <w:tc>
          <w:tcPr>
            <w:tcW w:w="4203" w:type="dxa"/>
            <w:gridSpan w:val="2"/>
            <w:tcBorders>
              <w:top w:val="nil"/>
              <w:left w:val="nil"/>
              <w:bottom w:val="nil"/>
              <w:right w:val="nil"/>
            </w:tcBorders>
          </w:tcPr>
          <w:p w:rsidR="00AD1DCF" w:rsidRPr="002E7325" w:rsidRDefault="00AD1DCF" w:rsidP="002E7325">
            <w:pPr>
              <w:autoSpaceDE w:val="0"/>
              <w:autoSpaceDN w:val="0"/>
              <w:adjustRightInd w:val="0"/>
              <w:spacing w:after="0" w:line="240" w:lineRule="auto"/>
              <w:rPr>
                <w:rFonts w:ascii="Calibri" w:hAnsi="Calibri" w:cs="Calibri"/>
                <w:b/>
                <w:bCs/>
                <w:color w:val="000000"/>
              </w:rPr>
            </w:pPr>
          </w:p>
        </w:tc>
        <w:tc>
          <w:tcPr>
            <w:tcW w:w="1870" w:type="dxa"/>
            <w:gridSpan w:val="2"/>
            <w:tcBorders>
              <w:top w:val="nil"/>
              <w:left w:val="nil"/>
              <w:bottom w:val="nil"/>
              <w:right w:val="nil"/>
            </w:tcBorders>
          </w:tcPr>
          <w:p w:rsidR="00C85CAF" w:rsidRDefault="00C85CAF" w:rsidP="006E6608">
            <w:pPr>
              <w:autoSpaceDE w:val="0"/>
              <w:autoSpaceDN w:val="0"/>
              <w:adjustRightInd w:val="0"/>
              <w:spacing w:after="0" w:line="240" w:lineRule="auto"/>
              <w:ind w:left="-871"/>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b/>
                <w:bCs/>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7D0755">
            <w:pPr>
              <w:autoSpaceDE w:val="0"/>
              <w:autoSpaceDN w:val="0"/>
              <w:adjustRightInd w:val="0"/>
              <w:spacing w:after="0" w:line="240" w:lineRule="auto"/>
              <w:jc w:val="both"/>
              <w:rPr>
                <w:rFonts w:ascii="Calibri" w:hAnsi="Calibri" w:cs="Calibri"/>
                <w:color w:val="000000"/>
              </w:rPr>
            </w:pP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1"/>
          <w:wAfter w:w="1510" w:type="dxa"/>
          <w:trHeight w:val="290"/>
        </w:trPr>
        <w:tc>
          <w:tcPr>
            <w:tcW w:w="9214" w:type="dxa"/>
            <w:gridSpan w:val="7"/>
            <w:tcBorders>
              <w:top w:val="nil"/>
              <w:left w:val="nil"/>
              <w:bottom w:val="nil"/>
              <w:right w:val="nil"/>
            </w:tcBorders>
          </w:tcPr>
          <w:p w:rsidR="00450711" w:rsidRPr="007D0755" w:rsidRDefault="00450711" w:rsidP="007D0755">
            <w:pPr>
              <w:autoSpaceDE w:val="0"/>
              <w:autoSpaceDN w:val="0"/>
              <w:adjustRightInd w:val="0"/>
              <w:spacing w:after="0" w:line="240" w:lineRule="auto"/>
              <w:jc w:val="both"/>
              <w:rPr>
                <w:rFonts w:ascii="Calibri" w:hAnsi="Calibri" w:cs="Calibri"/>
                <w:color w:val="000000"/>
                <w:highlight w:val="yellow"/>
              </w:rPr>
            </w:pPr>
          </w:p>
        </w:tc>
        <w:tc>
          <w:tcPr>
            <w:tcW w:w="1870" w:type="dxa"/>
            <w:tcBorders>
              <w:top w:val="nil"/>
              <w:left w:val="nil"/>
              <w:bottom w:val="nil"/>
              <w:right w:val="nil"/>
            </w:tcBorders>
          </w:tcPr>
          <w:p w:rsidR="00450711" w:rsidRDefault="00450711"/>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1870"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3141"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rPr>
                <w:rFonts w:ascii="Calibri" w:hAnsi="Calibri" w:cs="Calibri"/>
                <w:b/>
                <w:bCs/>
                <w:color w:val="000000"/>
              </w:rPr>
            </w:pPr>
          </w:p>
        </w:tc>
        <w:tc>
          <w:tcPr>
            <w:tcW w:w="1870"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3141"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1"/>
          <w:wAfter w:w="1510" w:type="dxa"/>
          <w:trHeight w:val="290"/>
        </w:trPr>
        <w:tc>
          <w:tcPr>
            <w:tcW w:w="9214" w:type="dxa"/>
            <w:gridSpan w:val="7"/>
            <w:tcBorders>
              <w:top w:val="nil"/>
              <w:left w:val="nil"/>
              <w:bottom w:val="nil"/>
              <w:right w:val="nil"/>
            </w:tcBorders>
          </w:tcPr>
          <w:p w:rsidR="00450711" w:rsidRDefault="00450711" w:rsidP="00107AA4">
            <w:pPr>
              <w:autoSpaceDE w:val="0"/>
              <w:autoSpaceDN w:val="0"/>
              <w:adjustRightInd w:val="0"/>
              <w:spacing w:after="0" w:line="240" w:lineRule="auto"/>
              <w:jc w:val="both"/>
              <w:rPr>
                <w:rFonts w:ascii="Calibri" w:hAnsi="Calibri" w:cs="Calibri"/>
                <w:color w:val="000000"/>
              </w:rPr>
            </w:pPr>
          </w:p>
        </w:tc>
        <w:tc>
          <w:tcPr>
            <w:tcW w:w="1870" w:type="dxa"/>
            <w:tcBorders>
              <w:top w:val="nil"/>
              <w:left w:val="nil"/>
              <w:bottom w:val="nil"/>
              <w:right w:val="nil"/>
            </w:tcBorders>
          </w:tcPr>
          <w:p w:rsidR="00450711" w:rsidRDefault="00450711"/>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b/>
                <w:bCs/>
                <w:color w:val="000000"/>
              </w:rPr>
            </w:pPr>
          </w:p>
        </w:tc>
        <w:tc>
          <w:tcPr>
            <w:tcW w:w="1870"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3141"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rPr>
                <w:rFonts w:ascii="Calibri" w:hAnsi="Calibri" w:cs="Calibri"/>
                <w:b/>
                <w:bCs/>
                <w:color w:val="000000"/>
              </w:rPr>
            </w:pPr>
          </w:p>
        </w:tc>
        <w:tc>
          <w:tcPr>
            <w:tcW w:w="1870"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3141"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2"/>
          <w:wAfter w:w="3380" w:type="dxa"/>
          <w:trHeight w:val="290"/>
        </w:trPr>
        <w:tc>
          <w:tcPr>
            <w:tcW w:w="9214" w:type="dxa"/>
            <w:gridSpan w:val="7"/>
            <w:tcBorders>
              <w:top w:val="nil"/>
              <w:left w:val="nil"/>
              <w:bottom w:val="nil"/>
              <w:right w:val="nil"/>
            </w:tcBorders>
          </w:tcPr>
          <w:p w:rsidR="00450711" w:rsidRDefault="00450711" w:rsidP="004539F0">
            <w:pPr>
              <w:autoSpaceDE w:val="0"/>
              <w:autoSpaceDN w:val="0"/>
              <w:adjustRightInd w:val="0"/>
              <w:spacing w:after="0" w:line="240" w:lineRule="auto"/>
              <w:jc w:val="both"/>
              <w:rPr>
                <w:rFonts w:ascii="Calibri" w:hAnsi="Calibri" w:cs="Calibri"/>
                <w:color w:val="000000"/>
              </w:rPr>
            </w:pPr>
          </w:p>
        </w:tc>
      </w:tr>
      <w:tr w:rsidR="00450711" w:rsidTr="00AB3902">
        <w:trPr>
          <w:trHeight w:val="290"/>
        </w:trPr>
        <w:tc>
          <w:tcPr>
            <w:tcW w:w="9214" w:type="dxa"/>
            <w:gridSpan w:val="7"/>
            <w:tcBorders>
              <w:top w:val="nil"/>
              <w:left w:val="nil"/>
              <w:bottom w:val="nil"/>
              <w:right w:val="nil"/>
            </w:tcBorders>
          </w:tcPr>
          <w:p w:rsidR="00450711" w:rsidRDefault="00450711" w:rsidP="004539F0">
            <w:pPr>
              <w:autoSpaceDE w:val="0"/>
              <w:autoSpaceDN w:val="0"/>
              <w:adjustRightInd w:val="0"/>
              <w:spacing w:after="0" w:line="240" w:lineRule="auto"/>
              <w:rPr>
                <w:rFonts w:ascii="Calibri" w:hAnsi="Calibri" w:cs="Calibri"/>
                <w:b/>
                <w:bCs/>
                <w:color w:val="000000"/>
              </w:rPr>
            </w:pPr>
          </w:p>
        </w:tc>
        <w:tc>
          <w:tcPr>
            <w:tcW w:w="3380" w:type="dxa"/>
            <w:gridSpan w:val="2"/>
            <w:tcBorders>
              <w:top w:val="nil"/>
              <w:left w:val="nil"/>
              <w:bottom w:val="nil"/>
              <w:right w:val="nil"/>
            </w:tcBorders>
          </w:tcPr>
          <w:p w:rsidR="00450711" w:rsidRDefault="00450711"/>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AB3902">
            <w:pPr>
              <w:autoSpaceDE w:val="0"/>
              <w:autoSpaceDN w:val="0"/>
              <w:adjustRightInd w:val="0"/>
              <w:spacing w:after="0" w:line="240" w:lineRule="auto"/>
              <w:ind w:left="-638"/>
              <w:jc w:val="right"/>
              <w:rPr>
                <w:rFonts w:ascii="Calibri" w:hAnsi="Calibri" w:cs="Calibri"/>
                <w:b/>
                <w:bCs/>
                <w:color w:val="000000"/>
              </w:rPr>
            </w:pPr>
          </w:p>
        </w:tc>
        <w:tc>
          <w:tcPr>
            <w:tcW w:w="3380"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1631" w:type="dxa"/>
            <w:gridSpan w:val="2"/>
            <w:tcBorders>
              <w:top w:val="nil"/>
              <w:left w:val="nil"/>
              <w:bottom w:val="nil"/>
              <w:right w:val="nil"/>
            </w:tcBorders>
          </w:tcPr>
          <w:p w:rsidR="00450711" w:rsidRDefault="00450711" w:rsidP="00107AA4">
            <w:pPr>
              <w:autoSpaceDE w:val="0"/>
              <w:autoSpaceDN w:val="0"/>
              <w:adjustRightInd w:val="0"/>
              <w:spacing w:after="0" w:line="240" w:lineRule="auto"/>
              <w:rPr>
                <w:rFonts w:ascii="Calibri" w:hAnsi="Calibri" w:cs="Calibri"/>
                <w:color w:val="000000"/>
              </w:rPr>
            </w:pPr>
          </w:p>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3380"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1631"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b/>
                <w:bCs/>
                <w:color w:val="000000"/>
              </w:rPr>
            </w:pPr>
          </w:p>
        </w:tc>
        <w:tc>
          <w:tcPr>
            <w:tcW w:w="3380"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1631"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AB3902">
            <w:pPr>
              <w:autoSpaceDE w:val="0"/>
              <w:autoSpaceDN w:val="0"/>
              <w:adjustRightInd w:val="0"/>
              <w:spacing w:after="0" w:line="240" w:lineRule="auto"/>
              <w:jc w:val="right"/>
              <w:rPr>
                <w:rFonts w:ascii="Calibri" w:hAnsi="Calibri" w:cs="Calibri"/>
                <w:b/>
                <w:bCs/>
                <w:color w:val="000000"/>
              </w:rPr>
            </w:pPr>
          </w:p>
        </w:tc>
        <w:tc>
          <w:tcPr>
            <w:tcW w:w="3380" w:type="dxa"/>
            <w:gridSpan w:val="3"/>
            <w:tcBorders>
              <w:top w:val="nil"/>
              <w:left w:val="nil"/>
              <w:bottom w:val="nil"/>
              <w:right w:val="nil"/>
            </w:tcBorders>
          </w:tcPr>
          <w:p w:rsidR="00450711" w:rsidRDefault="00450711" w:rsidP="00AB3902">
            <w:pPr>
              <w:autoSpaceDE w:val="0"/>
              <w:autoSpaceDN w:val="0"/>
              <w:adjustRightInd w:val="0"/>
              <w:spacing w:after="0" w:line="240" w:lineRule="auto"/>
              <w:jc w:val="right"/>
              <w:rPr>
                <w:rFonts w:ascii="Calibri" w:hAnsi="Calibri" w:cs="Calibri"/>
                <w:color w:val="000000"/>
              </w:rPr>
            </w:pPr>
          </w:p>
        </w:tc>
        <w:tc>
          <w:tcPr>
            <w:tcW w:w="1631" w:type="dxa"/>
            <w:gridSpan w:val="2"/>
            <w:tcBorders>
              <w:top w:val="nil"/>
              <w:left w:val="nil"/>
              <w:bottom w:val="nil"/>
              <w:right w:val="nil"/>
            </w:tcBorders>
          </w:tcPr>
          <w:p w:rsidR="00450711" w:rsidRDefault="00450711" w:rsidP="00AB3902">
            <w:pPr>
              <w:autoSpaceDE w:val="0"/>
              <w:autoSpaceDN w:val="0"/>
              <w:adjustRightInd w:val="0"/>
              <w:spacing w:after="0" w:line="240" w:lineRule="auto"/>
              <w:jc w:val="right"/>
              <w:rPr>
                <w:rFonts w:ascii="Calibri" w:hAnsi="Calibri" w:cs="Calibri"/>
                <w:color w:val="000000"/>
              </w:rPr>
            </w:pPr>
          </w:p>
        </w:tc>
      </w:tr>
      <w:tr w:rsidR="00450711" w:rsidTr="00AB3902">
        <w:trPr>
          <w:gridAfter w:val="2"/>
          <w:wAfter w:w="3380" w:type="dxa"/>
          <w:trHeight w:val="290"/>
        </w:trPr>
        <w:tc>
          <w:tcPr>
            <w:tcW w:w="7583" w:type="dxa"/>
            <w:gridSpan w:val="5"/>
            <w:tcBorders>
              <w:top w:val="nil"/>
              <w:left w:val="nil"/>
              <w:bottom w:val="nil"/>
              <w:right w:val="nil"/>
            </w:tcBorders>
          </w:tcPr>
          <w:p w:rsidR="00450711" w:rsidRDefault="00450711" w:rsidP="00AB3902">
            <w:pPr>
              <w:autoSpaceDE w:val="0"/>
              <w:autoSpaceDN w:val="0"/>
              <w:adjustRightInd w:val="0"/>
              <w:spacing w:after="0" w:line="240" w:lineRule="auto"/>
              <w:jc w:val="right"/>
              <w:rPr>
                <w:rFonts w:ascii="Calibri" w:hAnsi="Calibri" w:cs="Calibri"/>
                <w:color w:val="000000"/>
              </w:rPr>
            </w:pPr>
          </w:p>
        </w:tc>
        <w:tc>
          <w:tcPr>
            <w:tcW w:w="1631"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b/>
                <w:bCs/>
                <w:color w:val="000000"/>
              </w:rPr>
            </w:pPr>
          </w:p>
        </w:tc>
        <w:tc>
          <w:tcPr>
            <w:tcW w:w="3380"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1631" w:type="dxa"/>
            <w:gridSpan w:val="2"/>
            <w:tcBorders>
              <w:top w:val="nil"/>
              <w:left w:val="nil"/>
              <w:bottom w:val="nil"/>
              <w:right w:val="nil"/>
            </w:tcBorders>
          </w:tcPr>
          <w:p w:rsidR="00450711" w:rsidRDefault="00450711" w:rsidP="00107AA4">
            <w:pPr>
              <w:autoSpaceDE w:val="0"/>
              <w:autoSpaceDN w:val="0"/>
              <w:adjustRightInd w:val="0"/>
              <w:spacing w:after="0" w:line="240" w:lineRule="auto"/>
              <w:rPr>
                <w:rFonts w:ascii="Calibri" w:hAnsi="Calibri" w:cs="Calibri"/>
                <w:color w:val="000000"/>
              </w:rPr>
            </w:pPr>
          </w:p>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rPr>
                <w:rFonts w:ascii="Calibri" w:hAnsi="Calibri" w:cs="Calibri"/>
                <w:b/>
                <w:bCs/>
                <w:color w:val="000000"/>
              </w:rPr>
            </w:pPr>
          </w:p>
        </w:tc>
        <w:tc>
          <w:tcPr>
            <w:tcW w:w="3380"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1631" w:type="dxa"/>
            <w:gridSpan w:val="2"/>
            <w:tcBorders>
              <w:top w:val="nil"/>
              <w:left w:val="nil"/>
              <w:bottom w:val="nil"/>
              <w:right w:val="nil"/>
            </w:tcBorders>
            <w:shd w:val="solid" w:color="FFFFFF" w:fill="auto"/>
          </w:tcPr>
          <w:p w:rsidR="00450711" w:rsidRDefault="00450711" w:rsidP="00107AA4">
            <w:pPr>
              <w:autoSpaceDE w:val="0"/>
              <w:autoSpaceDN w:val="0"/>
              <w:adjustRightInd w:val="0"/>
              <w:spacing w:after="0" w:line="240" w:lineRule="auto"/>
              <w:rPr>
                <w:rFonts w:ascii="Calibri" w:hAnsi="Calibri" w:cs="Calibri"/>
                <w:color w:val="000000"/>
              </w:rPr>
            </w:pPr>
          </w:p>
        </w:tc>
      </w:tr>
      <w:tr w:rsidR="00450711" w:rsidTr="00AB3902">
        <w:trPr>
          <w:gridAfter w:val="2"/>
          <w:wAfter w:w="3380" w:type="dxa"/>
          <w:trHeight w:val="290"/>
        </w:trPr>
        <w:tc>
          <w:tcPr>
            <w:tcW w:w="9214" w:type="dxa"/>
            <w:gridSpan w:val="7"/>
            <w:tcBorders>
              <w:top w:val="nil"/>
              <w:left w:val="nil"/>
              <w:bottom w:val="nil"/>
              <w:right w:val="nil"/>
            </w:tcBorders>
            <w:shd w:val="solid" w:color="FFFFFF" w:fill="auto"/>
          </w:tcPr>
          <w:p w:rsidR="00450711" w:rsidRDefault="00450711" w:rsidP="004C7837">
            <w:pPr>
              <w:autoSpaceDE w:val="0"/>
              <w:autoSpaceDN w:val="0"/>
              <w:adjustRightInd w:val="0"/>
              <w:spacing w:after="0" w:line="240" w:lineRule="auto"/>
              <w:jc w:val="both"/>
              <w:rPr>
                <w:rFonts w:ascii="Calibri" w:hAnsi="Calibri" w:cs="Calibri"/>
                <w:color w:val="000000"/>
              </w:rPr>
            </w:pPr>
          </w:p>
        </w:tc>
      </w:tr>
      <w:tr w:rsidR="00450711" w:rsidTr="00AB3902">
        <w:trPr>
          <w:gridAfter w:val="7"/>
          <w:wAfter w:w="8391"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rPr>
                <w:rFonts w:ascii="Calibri" w:hAnsi="Calibri" w:cs="Calibri"/>
                <w:b/>
                <w:bCs/>
                <w:color w:val="000000"/>
              </w:rPr>
            </w:pPr>
          </w:p>
        </w:tc>
      </w:tr>
      <w:tr w:rsidR="00450711" w:rsidTr="00AB3902">
        <w:trPr>
          <w:gridAfter w:val="2"/>
          <w:wAfter w:w="3380" w:type="dxa"/>
          <w:trHeight w:val="5808"/>
        </w:trPr>
        <w:tc>
          <w:tcPr>
            <w:tcW w:w="9214" w:type="dxa"/>
            <w:gridSpan w:val="7"/>
            <w:tcBorders>
              <w:top w:val="nil"/>
              <w:left w:val="nil"/>
              <w:bottom w:val="nil"/>
              <w:right w:val="nil"/>
            </w:tcBorders>
          </w:tcPr>
          <w:p w:rsidR="00450711" w:rsidRDefault="00450711" w:rsidP="00107AA4">
            <w:pPr>
              <w:autoSpaceDE w:val="0"/>
              <w:autoSpaceDN w:val="0"/>
              <w:adjustRightInd w:val="0"/>
              <w:spacing w:after="0" w:line="240" w:lineRule="auto"/>
              <w:jc w:val="both"/>
              <w:rPr>
                <w:rFonts w:ascii="Calibri" w:hAnsi="Calibri" w:cs="Calibri"/>
                <w:color w:val="000000"/>
              </w:rPr>
            </w:pPr>
          </w:p>
        </w:tc>
      </w:tr>
    </w:tbl>
    <w:p w:rsidR="00C85CAF" w:rsidRDefault="00C85CAF" w:rsidP="00C85CAF">
      <w:pPr>
        <w:tabs>
          <w:tab w:val="left" w:pos="1035"/>
        </w:tabs>
        <w:rPr>
          <w:rFonts w:ascii="Calibri" w:eastAsia="Times New Roman" w:hAnsi="Calibri" w:cs="Times New Roman"/>
          <w:lang w:eastAsia="es-MX"/>
        </w:rPr>
      </w:pPr>
    </w:p>
    <w:p w:rsidR="00C85CAF" w:rsidRPr="00BF293B" w:rsidRDefault="00C85CAF" w:rsidP="00BF293B">
      <w:pPr>
        <w:rPr>
          <w:b/>
        </w:rPr>
      </w:pPr>
    </w:p>
    <w:sectPr w:rsidR="00C85CAF" w:rsidRPr="00BF293B" w:rsidSect="00D41E0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8F7326"/>
    <w:multiLevelType w:val="hybridMultilevel"/>
    <w:tmpl w:val="83E8E60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F6F0FE3"/>
    <w:multiLevelType w:val="hybridMultilevel"/>
    <w:tmpl w:val="A90A6A0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0DA7D44"/>
    <w:multiLevelType w:val="hybridMultilevel"/>
    <w:tmpl w:val="45ECF284"/>
    <w:lvl w:ilvl="0" w:tplc="794CEEE4">
      <w:start w:val="1"/>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C597D3C"/>
    <w:multiLevelType w:val="hybridMultilevel"/>
    <w:tmpl w:val="320658B2"/>
    <w:lvl w:ilvl="0" w:tplc="080A0017">
      <w:start w:val="1"/>
      <w:numFmt w:val="lowerLetter"/>
      <w:lvlText w:val="%1)"/>
      <w:lvlJc w:val="left"/>
      <w:pPr>
        <w:ind w:left="928"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562765A"/>
    <w:multiLevelType w:val="hybridMultilevel"/>
    <w:tmpl w:val="B7AE26F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D753E0E"/>
    <w:multiLevelType w:val="hybridMultilevel"/>
    <w:tmpl w:val="0168652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1EE50F6"/>
    <w:multiLevelType w:val="hybridMultilevel"/>
    <w:tmpl w:val="2874398A"/>
    <w:lvl w:ilvl="0" w:tplc="366630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B49371A"/>
    <w:multiLevelType w:val="hybridMultilevel"/>
    <w:tmpl w:val="2A14AD1E"/>
    <w:lvl w:ilvl="0" w:tplc="080A0017">
      <w:start w:val="1"/>
      <w:numFmt w:val="lowerLetter"/>
      <w:lvlText w:val="%1)"/>
      <w:lvlJc w:val="left"/>
      <w:pPr>
        <w:ind w:left="928"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3EF5F29"/>
    <w:multiLevelType w:val="hybridMultilevel"/>
    <w:tmpl w:val="0D8E774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7905790F"/>
    <w:multiLevelType w:val="hybridMultilevel"/>
    <w:tmpl w:val="C4AEF428"/>
    <w:lvl w:ilvl="0" w:tplc="211A5150">
      <w:start w:val="1"/>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9"/>
  </w:num>
  <w:num w:numId="4">
    <w:abstractNumId w:val="8"/>
  </w:num>
  <w:num w:numId="5">
    <w:abstractNumId w:val="0"/>
  </w:num>
  <w:num w:numId="6">
    <w:abstractNumId w:val="5"/>
  </w:num>
  <w:num w:numId="7">
    <w:abstractNumId w:val="1"/>
  </w:num>
  <w:num w:numId="8">
    <w:abstractNumId w:val="4"/>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14"/>
    <w:rsid w:val="00022F34"/>
    <w:rsid w:val="000441E1"/>
    <w:rsid w:val="00045FB8"/>
    <w:rsid w:val="00051B5B"/>
    <w:rsid w:val="00067A3D"/>
    <w:rsid w:val="000B4A2D"/>
    <w:rsid w:val="000C5DA3"/>
    <w:rsid w:val="00107AA4"/>
    <w:rsid w:val="00111868"/>
    <w:rsid w:val="00150043"/>
    <w:rsid w:val="001513A2"/>
    <w:rsid w:val="00152FEA"/>
    <w:rsid w:val="00173259"/>
    <w:rsid w:val="00191BE7"/>
    <w:rsid w:val="001A3A6D"/>
    <w:rsid w:val="001A5823"/>
    <w:rsid w:val="001E12F8"/>
    <w:rsid w:val="001F59BB"/>
    <w:rsid w:val="001F61FE"/>
    <w:rsid w:val="001F7105"/>
    <w:rsid w:val="00212FD4"/>
    <w:rsid w:val="002202A7"/>
    <w:rsid w:val="00235A0F"/>
    <w:rsid w:val="00245ECB"/>
    <w:rsid w:val="00283B5E"/>
    <w:rsid w:val="002A375E"/>
    <w:rsid w:val="002A68F8"/>
    <w:rsid w:val="002D24B3"/>
    <w:rsid w:val="002E7325"/>
    <w:rsid w:val="003066E5"/>
    <w:rsid w:val="00307DEB"/>
    <w:rsid w:val="0032365A"/>
    <w:rsid w:val="00343639"/>
    <w:rsid w:val="0034681B"/>
    <w:rsid w:val="00346D71"/>
    <w:rsid w:val="003476BB"/>
    <w:rsid w:val="00352FC2"/>
    <w:rsid w:val="003B6B0E"/>
    <w:rsid w:val="003C55A6"/>
    <w:rsid w:val="003D1079"/>
    <w:rsid w:val="003E0D5A"/>
    <w:rsid w:val="003F0EE2"/>
    <w:rsid w:val="003F455F"/>
    <w:rsid w:val="00415285"/>
    <w:rsid w:val="00442DF5"/>
    <w:rsid w:val="00450711"/>
    <w:rsid w:val="00453718"/>
    <w:rsid w:val="004539F0"/>
    <w:rsid w:val="00485140"/>
    <w:rsid w:val="004C7837"/>
    <w:rsid w:val="004E020B"/>
    <w:rsid w:val="004E1911"/>
    <w:rsid w:val="004E2CD3"/>
    <w:rsid w:val="00502153"/>
    <w:rsid w:val="00505995"/>
    <w:rsid w:val="00514E38"/>
    <w:rsid w:val="005177F3"/>
    <w:rsid w:val="0053534F"/>
    <w:rsid w:val="005533A9"/>
    <w:rsid w:val="00560D84"/>
    <w:rsid w:val="00561E15"/>
    <w:rsid w:val="00565068"/>
    <w:rsid w:val="00570069"/>
    <w:rsid w:val="00587835"/>
    <w:rsid w:val="00595702"/>
    <w:rsid w:val="005A633C"/>
    <w:rsid w:val="005A694A"/>
    <w:rsid w:val="005C1755"/>
    <w:rsid w:val="005C24D2"/>
    <w:rsid w:val="005C6034"/>
    <w:rsid w:val="005F5835"/>
    <w:rsid w:val="0065001D"/>
    <w:rsid w:val="00653D5A"/>
    <w:rsid w:val="00681DCB"/>
    <w:rsid w:val="00686737"/>
    <w:rsid w:val="006B2DCC"/>
    <w:rsid w:val="006B71BE"/>
    <w:rsid w:val="006C7450"/>
    <w:rsid w:val="006E452C"/>
    <w:rsid w:val="006E6608"/>
    <w:rsid w:val="006F057B"/>
    <w:rsid w:val="007129BA"/>
    <w:rsid w:val="007171B9"/>
    <w:rsid w:val="00723C89"/>
    <w:rsid w:val="00744513"/>
    <w:rsid w:val="00777EBA"/>
    <w:rsid w:val="007A616A"/>
    <w:rsid w:val="007C4374"/>
    <w:rsid w:val="007D0755"/>
    <w:rsid w:val="007E2447"/>
    <w:rsid w:val="007E3523"/>
    <w:rsid w:val="00800A91"/>
    <w:rsid w:val="00806E5C"/>
    <w:rsid w:val="008510B5"/>
    <w:rsid w:val="008613B1"/>
    <w:rsid w:val="008704A9"/>
    <w:rsid w:val="008710C6"/>
    <w:rsid w:val="00895B26"/>
    <w:rsid w:val="008A5EA2"/>
    <w:rsid w:val="00926CCB"/>
    <w:rsid w:val="0092769A"/>
    <w:rsid w:val="00954225"/>
    <w:rsid w:val="00966402"/>
    <w:rsid w:val="00984E83"/>
    <w:rsid w:val="00987B66"/>
    <w:rsid w:val="009A3BFF"/>
    <w:rsid w:val="009D3F7D"/>
    <w:rsid w:val="009E18EA"/>
    <w:rsid w:val="00A15009"/>
    <w:rsid w:val="00A26B2D"/>
    <w:rsid w:val="00A503FC"/>
    <w:rsid w:val="00A51898"/>
    <w:rsid w:val="00A74473"/>
    <w:rsid w:val="00A94EFF"/>
    <w:rsid w:val="00AB3902"/>
    <w:rsid w:val="00AB4DD6"/>
    <w:rsid w:val="00AB67CE"/>
    <w:rsid w:val="00AC1335"/>
    <w:rsid w:val="00AC5DA9"/>
    <w:rsid w:val="00AD1DCF"/>
    <w:rsid w:val="00AD6538"/>
    <w:rsid w:val="00AE1B05"/>
    <w:rsid w:val="00B1041A"/>
    <w:rsid w:val="00B15484"/>
    <w:rsid w:val="00B37C67"/>
    <w:rsid w:val="00B41788"/>
    <w:rsid w:val="00B43860"/>
    <w:rsid w:val="00B43DB3"/>
    <w:rsid w:val="00B5283C"/>
    <w:rsid w:val="00B66560"/>
    <w:rsid w:val="00BC1445"/>
    <w:rsid w:val="00BC1972"/>
    <w:rsid w:val="00BE697A"/>
    <w:rsid w:val="00BF293B"/>
    <w:rsid w:val="00C15881"/>
    <w:rsid w:val="00C42F21"/>
    <w:rsid w:val="00C45C76"/>
    <w:rsid w:val="00C54E15"/>
    <w:rsid w:val="00C55BCC"/>
    <w:rsid w:val="00C85CAF"/>
    <w:rsid w:val="00C86D29"/>
    <w:rsid w:val="00C944BD"/>
    <w:rsid w:val="00C95CB4"/>
    <w:rsid w:val="00C95F7C"/>
    <w:rsid w:val="00CA0DED"/>
    <w:rsid w:val="00CA4DC9"/>
    <w:rsid w:val="00CB1BBD"/>
    <w:rsid w:val="00CB21D1"/>
    <w:rsid w:val="00CD49F6"/>
    <w:rsid w:val="00CE7B43"/>
    <w:rsid w:val="00D02735"/>
    <w:rsid w:val="00D06559"/>
    <w:rsid w:val="00D10E83"/>
    <w:rsid w:val="00D13F7D"/>
    <w:rsid w:val="00D21B1F"/>
    <w:rsid w:val="00D31414"/>
    <w:rsid w:val="00D4188A"/>
    <w:rsid w:val="00D41E02"/>
    <w:rsid w:val="00DA081D"/>
    <w:rsid w:val="00DA237F"/>
    <w:rsid w:val="00E215F9"/>
    <w:rsid w:val="00E520BC"/>
    <w:rsid w:val="00E73B7A"/>
    <w:rsid w:val="00E7641A"/>
    <w:rsid w:val="00E911E6"/>
    <w:rsid w:val="00EA3AE1"/>
    <w:rsid w:val="00EB59F3"/>
    <w:rsid w:val="00EB7FC7"/>
    <w:rsid w:val="00EE4985"/>
    <w:rsid w:val="00F27FBF"/>
    <w:rsid w:val="00F41628"/>
    <w:rsid w:val="00F41E08"/>
    <w:rsid w:val="00F51F93"/>
    <w:rsid w:val="00FB1EF6"/>
    <w:rsid w:val="00FB4570"/>
    <w:rsid w:val="00FE524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6EFC2F-CAFF-4F5A-BAF0-EF81F51F8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1E02"/>
  </w:style>
  <w:style w:type="paragraph" w:styleId="Ttulo1">
    <w:name w:val="heading 1"/>
    <w:basedOn w:val="Normal"/>
    <w:next w:val="Normal"/>
    <w:link w:val="Ttulo1Car"/>
    <w:uiPriority w:val="9"/>
    <w:qFormat/>
    <w:rsid w:val="004E02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31414"/>
    <w:pPr>
      <w:ind w:left="720"/>
      <w:contextualSpacing/>
    </w:pPr>
  </w:style>
  <w:style w:type="paragraph" w:styleId="Sinespaciado">
    <w:name w:val="No Spacing"/>
    <w:uiPriority w:val="1"/>
    <w:qFormat/>
    <w:rsid w:val="00AB4DD6"/>
    <w:pPr>
      <w:spacing w:after="0" w:line="240" w:lineRule="auto"/>
    </w:pPr>
  </w:style>
  <w:style w:type="character" w:customStyle="1" w:styleId="Ttulo1Car">
    <w:name w:val="Título 1 Car"/>
    <w:basedOn w:val="Fuentedeprrafopredeter"/>
    <w:link w:val="Ttulo1"/>
    <w:uiPriority w:val="9"/>
    <w:rsid w:val="004E020B"/>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3E0D5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E0D5A"/>
    <w:rPr>
      <w:rFonts w:ascii="Segoe UI" w:hAnsi="Segoe UI" w:cs="Segoe UI"/>
      <w:sz w:val="18"/>
      <w:szCs w:val="18"/>
    </w:rPr>
  </w:style>
  <w:style w:type="table" w:styleId="Tablaconcuadrcula">
    <w:name w:val="Table Grid"/>
    <w:basedOn w:val="Tablanormal"/>
    <w:uiPriority w:val="39"/>
    <w:rsid w:val="0002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92615">
      <w:bodyDiv w:val="1"/>
      <w:marLeft w:val="0"/>
      <w:marRight w:val="0"/>
      <w:marTop w:val="0"/>
      <w:marBottom w:val="0"/>
      <w:divBdr>
        <w:top w:val="none" w:sz="0" w:space="0" w:color="auto"/>
        <w:left w:val="none" w:sz="0" w:space="0" w:color="auto"/>
        <w:bottom w:val="none" w:sz="0" w:space="0" w:color="auto"/>
        <w:right w:val="none" w:sz="0" w:space="0" w:color="auto"/>
      </w:divBdr>
    </w:div>
    <w:div w:id="128743469">
      <w:bodyDiv w:val="1"/>
      <w:marLeft w:val="0"/>
      <w:marRight w:val="0"/>
      <w:marTop w:val="0"/>
      <w:marBottom w:val="0"/>
      <w:divBdr>
        <w:top w:val="none" w:sz="0" w:space="0" w:color="auto"/>
        <w:left w:val="none" w:sz="0" w:space="0" w:color="auto"/>
        <w:bottom w:val="none" w:sz="0" w:space="0" w:color="auto"/>
        <w:right w:val="none" w:sz="0" w:space="0" w:color="auto"/>
      </w:divBdr>
    </w:div>
    <w:div w:id="244923440">
      <w:bodyDiv w:val="1"/>
      <w:marLeft w:val="0"/>
      <w:marRight w:val="0"/>
      <w:marTop w:val="0"/>
      <w:marBottom w:val="0"/>
      <w:divBdr>
        <w:top w:val="none" w:sz="0" w:space="0" w:color="auto"/>
        <w:left w:val="none" w:sz="0" w:space="0" w:color="auto"/>
        <w:bottom w:val="none" w:sz="0" w:space="0" w:color="auto"/>
        <w:right w:val="none" w:sz="0" w:space="0" w:color="auto"/>
      </w:divBdr>
    </w:div>
    <w:div w:id="326519974">
      <w:bodyDiv w:val="1"/>
      <w:marLeft w:val="0"/>
      <w:marRight w:val="0"/>
      <w:marTop w:val="0"/>
      <w:marBottom w:val="0"/>
      <w:divBdr>
        <w:top w:val="none" w:sz="0" w:space="0" w:color="auto"/>
        <w:left w:val="none" w:sz="0" w:space="0" w:color="auto"/>
        <w:bottom w:val="none" w:sz="0" w:space="0" w:color="auto"/>
        <w:right w:val="none" w:sz="0" w:space="0" w:color="auto"/>
      </w:divBdr>
    </w:div>
    <w:div w:id="1116413878">
      <w:bodyDiv w:val="1"/>
      <w:marLeft w:val="0"/>
      <w:marRight w:val="0"/>
      <w:marTop w:val="0"/>
      <w:marBottom w:val="0"/>
      <w:divBdr>
        <w:top w:val="none" w:sz="0" w:space="0" w:color="auto"/>
        <w:left w:val="none" w:sz="0" w:space="0" w:color="auto"/>
        <w:bottom w:val="none" w:sz="0" w:space="0" w:color="auto"/>
        <w:right w:val="none" w:sz="0" w:space="0" w:color="auto"/>
      </w:divBdr>
    </w:div>
    <w:div w:id="1306088174">
      <w:bodyDiv w:val="1"/>
      <w:marLeft w:val="0"/>
      <w:marRight w:val="0"/>
      <w:marTop w:val="0"/>
      <w:marBottom w:val="0"/>
      <w:divBdr>
        <w:top w:val="none" w:sz="0" w:space="0" w:color="auto"/>
        <w:left w:val="none" w:sz="0" w:space="0" w:color="auto"/>
        <w:bottom w:val="none" w:sz="0" w:space="0" w:color="auto"/>
        <w:right w:val="none" w:sz="0" w:space="0" w:color="auto"/>
      </w:divBdr>
    </w:div>
    <w:div w:id="1370378452">
      <w:bodyDiv w:val="1"/>
      <w:marLeft w:val="0"/>
      <w:marRight w:val="0"/>
      <w:marTop w:val="0"/>
      <w:marBottom w:val="0"/>
      <w:divBdr>
        <w:top w:val="none" w:sz="0" w:space="0" w:color="auto"/>
        <w:left w:val="none" w:sz="0" w:space="0" w:color="auto"/>
        <w:bottom w:val="none" w:sz="0" w:space="0" w:color="auto"/>
        <w:right w:val="none" w:sz="0" w:space="0" w:color="auto"/>
      </w:divBdr>
    </w:div>
    <w:div w:id="1482308827">
      <w:bodyDiv w:val="1"/>
      <w:marLeft w:val="0"/>
      <w:marRight w:val="0"/>
      <w:marTop w:val="0"/>
      <w:marBottom w:val="0"/>
      <w:divBdr>
        <w:top w:val="none" w:sz="0" w:space="0" w:color="auto"/>
        <w:left w:val="none" w:sz="0" w:space="0" w:color="auto"/>
        <w:bottom w:val="none" w:sz="0" w:space="0" w:color="auto"/>
        <w:right w:val="none" w:sz="0" w:space="0" w:color="auto"/>
      </w:divBdr>
    </w:div>
    <w:div w:id="1613395429">
      <w:bodyDiv w:val="1"/>
      <w:marLeft w:val="0"/>
      <w:marRight w:val="0"/>
      <w:marTop w:val="0"/>
      <w:marBottom w:val="0"/>
      <w:divBdr>
        <w:top w:val="none" w:sz="0" w:space="0" w:color="auto"/>
        <w:left w:val="none" w:sz="0" w:space="0" w:color="auto"/>
        <w:bottom w:val="none" w:sz="0" w:space="0" w:color="auto"/>
        <w:right w:val="none" w:sz="0" w:space="0" w:color="auto"/>
      </w:divBdr>
    </w:div>
    <w:div w:id="198215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openxmlformats.org/officeDocument/2006/relationships/image" Target="media/image14.e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7.emf"/><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image" Target="media/image13.e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emf"/><Relationship Id="rId20" Type="http://schemas.openxmlformats.org/officeDocument/2006/relationships/image" Target="media/image16.emf"/><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emf"/><Relationship Id="rId23" Type="http://schemas.openxmlformats.org/officeDocument/2006/relationships/image" Target="media/image19.emf"/><Relationship Id="rId10" Type="http://schemas.openxmlformats.org/officeDocument/2006/relationships/image" Target="media/image6.emf"/><Relationship Id="rId19" Type="http://schemas.openxmlformats.org/officeDocument/2006/relationships/image" Target="media/image15.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 Id="rId22" Type="http://schemas.openxmlformats.org/officeDocument/2006/relationships/image" Target="media/image18.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4630</Words>
  <Characters>25467</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Garabito</dc:creator>
  <cp:keywords/>
  <dc:description/>
  <cp:lastModifiedBy>Transparencia</cp:lastModifiedBy>
  <cp:revision>2</cp:revision>
  <cp:lastPrinted>2019-03-12T01:13:00Z</cp:lastPrinted>
  <dcterms:created xsi:type="dcterms:W3CDTF">2019-06-04T14:40:00Z</dcterms:created>
  <dcterms:modified xsi:type="dcterms:W3CDTF">2019-06-04T14:40:00Z</dcterms:modified>
</cp:coreProperties>
</file>